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0" w:type="dxa"/>
        <w:tblCellMar>
          <w:left w:w="0" w:type="dxa"/>
          <w:right w:w="0" w:type="dxa"/>
        </w:tblCellMar>
        <w:tblLook w:val="0600" w:firstRow="0" w:lastRow="0" w:firstColumn="0" w:lastColumn="0" w:noHBand="1" w:noVBand="1"/>
      </w:tblPr>
      <w:tblGrid>
        <w:gridCol w:w="6390"/>
        <w:gridCol w:w="2960"/>
      </w:tblGrid>
      <w:tr w:rsidR="00C30390" w:rsidRPr="00292B7C" w14:paraId="3341519D" w14:textId="77777777" w:rsidTr="00EE298F">
        <w:trPr>
          <w:trHeight w:val="1098"/>
        </w:trPr>
        <w:tc>
          <w:tcPr>
            <w:tcW w:w="6390" w:type="dxa"/>
            <w:tcBorders>
              <w:bottom w:val="single" w:sz="24" w:space="0" w:color="1BB6FF" w:themeColor="accent1" w:themeTint="99"/>
            </w:tcBorders>
          </w:tcPr>
          <w:p w14:paraId="38BA59E5" w14:textId="10D8ADD3" w:rsidR="00C30390" w:rsidRPr="00292B7C" w:rsidRDefault="00C30390" w:rsidP="008C5BB7">
            <w:pPr>
              <w:pStyle w:val="Title"/>
              <w:tabs>
                <w:tab w:val="left" w:pos="6480"/>
              </w:tabs>
              <w:rPr>
                <w:b/>
                <w:bCs/>
                <w:sz w:val="40"/>
                <w:szCs w:val="40"/>
              </w:rPr>
            </w:pPr>
            <w:r w:rsidRPr="00292B7C">
              <w:rPr>
                <w:noProof/>
              </w:rPr>
              <w:drawing>
                <wp:anchor distT="0" distB="0" distL="114300" distR="114300" simplePos="0" relativeHeight="251660288"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730E0E" w:rsidRPr="00292B7C">
              <w:rPr>
                <w:b/>
                <w:bCs/>
                <w:sz w:val="40"/>
                <w:szCs w:val="40"/>
              </w:rPr>
              <w:t xml:space="preserve">education </w:t>
            </w:r>
            <w:r w:rsidRPr="00292B7C">
              <w:rPr>
                <w:b/>
                <w:bCs/>
                <w:sz w:val="40"/>
                <w:szCs w:val="40"/>
              </w:rPr>
              <w:t>PLACEMENT OFFICER</w:t>
            </w:r>
          </w:p>
          <w:p w14:paraId="60177145" w14:textId="06FECC04" w:rsidR="00C30390" w:rsidRPr="00292B7C" w:rsidRDefault="00C30390" w:rsidP="007C3222">
            <w:r w:rsidRPr="00292B7C">
              <w:rPr>
                <w:b/>
                <w:bCs/>
                <w:sz w:val="24"/>
                <w:szCs w:val="24"/>
              </w:rPr>
              <w:t>SALARY GRADE: HBC</w:t>
            </w:r>
            <w:r w:rsidR="0086027F">
              <w:rPr>
                <w:b/>
                <w:bCs/>
                <w:sz w:val="24"/>
                <w:szCs w:val="24"/>
              </w:rPr>
              <w:t>5</w:t>
            </w:r>
          </w:p>
        </w:tc>
        <w:tc>
          <w:tcPr>
            <w:tcW w:w="2960" w:type="dxa"/>
            <w:tcBorders>
              <w:bottom w:val="single" w:sz="24" w:space="0" w:color="1BB6FF" w:themeColor="accent1" w:themeTint="99"/>
            </w:tcBorders>
          </w:tcPr>
          <w:p w14:paraId="7E613E0D" w14:textId="77777777" w:rsidR="00C30390" w:rsidRPr="00292B7C" w:rsidRDefault="00C30390" w:rsidP="00365C93">
            <w:pPr>
              <w:pStyle w:val="RedText"/>
              <w:tabs>
                <w:tab w:val="left" w:pos="3150"/>
              </w:tabs>
              <w:jc w:val="right"/>
            </w:pPr>
            <w:r w:rsidRPr="00292B7C">
              <w:t xml:space="preserve">Halton Borough Council </w:t>
            </w:r>
          </w:p>
          <w:p w14:paraId="73967EB1" w14:textId="77777777" w:rsidR="00C30390" w:rsidRPr="00292B7C" w:rsidRDefault="00C30390" w:rsidP="00B824D6">
            <w:pPr>
              <w:pStyle w:val="RedText"/>
              <w:tabs>
                <w:tab w:val="left" w:pos="1350"/>
              </w:tabs>
              <w:jc w:val="right"/>
            </w:pPr>
            <w:r w:rsidRPr="00292B7C">
              <w:t>resourcing@halton.gov.uk</w:t>
            </w:r>
          </w:p>
          <w:p w14:paraId="6F8743CF" w14:textId="77777777" w:rsidR="00C30390" w:rsidRPr="00292B7C" w:rsidRDefault="00C30390" w:rsidP="00365C93">
            <w:pPr>
              <w:jc w:val="right"/>
            </w:pPr>
          </w:p>
        </w:tc>
      </w:tr>
      <w:tr w:rsidR="00C30390" w:rsidRPr="00292B7C" w14:paraId="419E745C" w14:textId="77777777" w:rsidTr="00EE298F">
        <w:tc>
          <w:tcPr>
            <w:tcW w:w="9350" w:type="dxa"/>
            <w:gridSpan w:val="2"/>
            <w:tcBorders>
              <w:top w:val="single" w:sz="24" w:space="0" w:color="1BB6FF" w:themeColor="accent1" w:themeTint="99"/>
            </w:tcBorders>
          </w:tcPr>
          <w:p w14:paraId="6BE4BFC9" w14:textId="77777777" w:rsidR="00C30390" w:rsidRPr="00292B7C" w:rsidRDefault="00C30390" w:rsidP="00395C1F">
            <w:pPr>
              <w:pStyle w:val="Heading1"/>
              <w:spacing w:line="276" w:lineRule="auto"/>
            </w:pPr>
            <w:r w:rsidRPr="00292B7C">
              <w:t>Working at Halton</w:t>
            </w:r>
          </w:p>
        </w:tc>
      </w:tr>
      <w:tr w:rsidR="00C30390" w:rsidRPr="00292B7C" w14:paraId="3ED87AD8" w14:textId="77777777" w:rsidTr="00EE298F">
        <w:tc>
          <w:tcPr>
            <w:tcW w:w="9350" w:type="dxa"/>
            <w:gridSpan w:val="2"/>
            <w:tcBorders>
              <w:bottom w:val="single" w:sz="24" w:space="0" w:color="1BB6FF" w:themeColor="accent1" w:themeTint="99"/>
            </w:tcBorders>
          </w:tcPr>
          <w:p w14:paraId="76E2CE73" w14:textId="77777777" w:rsidR="00C30390" w:rsidRPr="00292B7C" w:rsidRDefault="00C30390" w:rsidP="006E3732">
            <w:pPr>
              <w:spacing w:line="276" w:lineRule="auto"/>
              <w:jc w:val="both"/>
            </w:pPr>
            <w:r w:rsidRPr="00292B7C">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76171A98" w14:textId="77777777" w:rsidR="00C30390" w:rsidRPr="00292B7C" w:rsidRDefault="00C30390" w:rsidP="006E3732">
            <w:pPr>
              <w:numPr>
                <w:ilvl w:val="0"/>
                <w:numId w:val="8"/>
              </w:numPr>
              <w:spacing w:line="276" w:lineRule="auto"/>
              <w:jc w:val="both"/>
            </w:pPr>
            <w:r w:rsidRPr="00292B7C">
              <w:t xml:space="preserve">Working Together – building fantastic relationships with colleagues and customers </w:t>
            </w:r>
          </w:p>
          <w:p w14:paraId="6F642D21" w14:textId="77777777" w:rsidR="00C30390" w:rsidRPr="00292B7C" w:rsidRDefault="00C30390" w:rsidP="006E3732">
            <w:pPr>
              <w:numPr>
                <w:ilvl w:val="0"/>
                <w:numId w:val="8"/>
              </w:numPr>
              <w:spacing w:line="276" w:lineRule="auto"/>
              <w:jc w:val="both"/>
            </w:pPr>
            <w:r w:rsidRPr="00292B7C">
              <w:t>Continuous Improvement – Keeping great service delivery at the heart of everything we do</w:t>
            </w:r>
          </w:p>
          <w:p w14:paraId="71244B30" w14:textId="77777777" w:rsidR="00C30390" w:rsidRPr="00292B7C" w:rsidRDefault="00C30390" w:rsidP="006E3732">
            <w:pPr>
              <w:numPr>
                <w:ilvl w:val="0"/>
                <w:numId w:val="8"/>
              </w:numPr>
              <w:spacing w:line="276" w:lineRule="auto"/>
              <w:jc w:val="both"/>
            </w:pPr>
            <w:r w:rsidRPr="00292B7C">
              <w:t xml:space="preserve">Personal Growth – Learning, growing and developing ourselves </w:t>
            </w:r>
          </w:p>
          <w:p w14:paraId="1865688D" w14:textId="77777777" w:rsidR="00C30390" w:rsidRPr="00292B7C" w:rsidRDefault="00C30390" w:rsidP="006E3732">
            <w:pPr>
              <w:numPr>
                <w:ilvl w:val="0"/>
                <w:numId w:val="8"/>
              </w:numPr>
              <w:spacing w:line="276" w:lineRule="auto"/>
              <w:jc w:val="both"/>
            </w:pPr>
            <w:r w:rsidRPr="00292B7C">
              <w:t>Accountability – doing what we say we are going to do</w:t>
            </w:r>
          </w:p>
          <w:p w14:paraId="0568A34C" w14:textId="77777777" w:rsidR="00C30390" w:rsidRPr="00292B7C" w:rsidRDefault="00C30390" w:rsidP="006E3732">
            <w:pPr>
              <w:numPr>
                <w:ilvl w:val="0"/>
                <w:numId w:val="8"/>
              </w:numPr>
              <w:spacing w:line="276" w:lineRule="auto"/>
              <w:jc w:val="both"/>
            </w:pPr>
            <w:r w:rsidRPr="00292B7C">
              <w:t>Inspiring Leadership – positive roles models and leading by example</w:t>
            </w:r>
          </w:p>
          <w:p w14:paraId="1A4D4552" w14:textId="77777777" w:rsidR="00C30390" w:rsidRPr="00292B7C" w:rsidRDefault="00C30390" w:rsidP="006E3732">
            <w:pPr>
              <w:spacing w:line="276" w:lineRule="auto"/>
              <w:jc w:val="both"/>
              <w:rPr>
                <w:i/>
                <w:iCs/>
              </w:rPr>
            </w:pPr>
          </w:p>
          <w:p w14:paraId="216922CC" w14:textId="77777777" w:rsidR="00C30390" w:rsidRPr="00292B7C" w:rsidRDefault="00C30390" w:rsidP="006E3732">
            <w:pPr>
              <w:spacing w:line="276" w:lineRule="auto"/>
              <w:jc w:val="both"/>
              <w:rPr>
                <w:i/>
                <w:iCs/>
              </w:rPr>
            </w:pPr>
            <w:r w:rsidRPr="00292B7C">
              <w:rPr>
                <w:i/>
                <w:iCs/>
              </w:rPr>
              <w:t xml:space="preserve">To read more about our values, click </w:t>
            </w:r>
            <w:hyperlink r:id="rId12" w:history="1">
              <w:r w:rsidRPr="00292B7C">
                <w:rPr>
                  <w:rStyle w:val="Hyperlink"/>
                  <w:i/>
                  <w:iCs/>
                </w:rPr>
                <w:t>HERE</w:t>
              </w:r>
            </w:hyperlink>
          </w:p>
          <w:p w14:paraId="5968B4F0" w14:textId="77777777" w:rsidR="00C30390" w:rsidRPr="00292B7C" w:rsidRDefault="00C30390" w:rsidP="006E3732">
            <w:pPr>
              <w:spacing w:line="276" w:lineRule="auto"/>
              <w:jc w:val="both"/>
              <w:rPr>
                <w:i/>
                <w:iCs/>
              </w:rPr>
            </w:pPr>
          </w:p>
          <w:p w14:paraId="20F24A4F" w14:textId="77777777" w:rsidR="00C30390" w:rsidRPr="00292B7C" w:rsidRDefault="00C30390" w:rsidP="006E3732">
            <w:pPr>
              <w:jc w:val="both"/>
              <w:rPr>
                <w:b/>
                <w:bCs/>
              </w:rPr>
            </w:pPr>
            <w:r w:rsidRPr="00292B7C">
              <w:rPr>
                <w:b/>
                <w:bCs/>
              </w:rPr>
              <w:t>We are immensely proud that when asked what’s great about working for Halton, the most popular response from our workforce has been ‘</w:t>
            </w:r>
            <w:r w:rsidRPr="00292B7C">
              <w:rPr>
                <w:b/>
                <w:bCs/>
                <w:i/>
                <w:iCs/>
              </w:rPr>
              <w:t>our colleagues’</w:t>
            </w:r>
            <w:r w:rsidRPr="00292B7C">
              <w:rPr>
                <w:b/>
                <w:bCs/>
              </w:rPr>
              <w:t>.</w:t>
            </w:r>
          </w:p>
          <w:p w14:paraId="0A197A7D" w14:textId="77777777" w:rsidR="00C30390" w:rsidRPr="00292B7C" w:rsidRDefault="00C30390" w:rsidP="006E3732">
            <w:pPr>
              <w:spacing w:line="276" w:lineRule="auto"/>
              <w:jc w:val="both"/>
              <w:rPr>
                <w:b/>
                <w:bCs/>
              </w:rPr>
            </w:pPr>
          </w:p>
          <w:p w14:paraId="0E7CD352" w14:textId="77777777" w:rsidR="00C30390" w:rsidRPr="00292B7C" w:rsidRDefault="00C30390" w:rsidP="006E3732">
            <w:pPr>
              <w:spacing w:line="276" w:lineRule="auto"/>
              <w:jc w:val="both"/>
            </w:pPr>
            <w:r w:rsidRPr="00292B7C">
              <w:t>Aside from working with a great team, our employees have access to a fantastic range of benefits, including:</w:t>
            </w:r>
          </w:p>
          <w:p w14:paraId="65C3B652" w14:textId="77777777" w:rsidR="00C30390" w:rsidRPr="00292B7C" w:rsidRDefault="00C30390" w:rsidP="006E3732">
            <w:pPr>
              <w:numPr>
                <w:ilvl w:val="0"/>
                <w:numId w:val="9"/>
              </w:numPr>
              <w:spacing w:line="276" w:lineRule="auto"/>
              <w:jc w:val="both"/>
            </w:pPr>
            <w:r w:rsidRPr="00292B7C">
              <w:t>A generous annual holiday allowance starting at 26 days per year (including bank holidays), increasing with long service</w:t>
            </w:r>
          </w:p>
          <w:p w14:paraId="20365736" w14:textId="77777777" w:rsidR="00C30390" w:rsidRPr="00292B7C" w:rsidRDefault="00C30390" w:rsidP="006E3732">
            <w:pPr>
              <w:numPr>
                <w:ilvl w:val="0"/>
                <w:numId w:val="9"/>
              </w:numPr>
              <w:spacing w:line="276" w:lineRule="auto"/>
              <w:jc w:val="both"/>
            </w:pPr>
            <w:r w:rsidRPr="00292B7C">
              <w:t>Membership of our defined benefit, salary-linked pension scheme with generous Employer Contributions</w:t>
            </w:r>
          </w:p>
          <w:p w14:paraId="5FBC69EA" w14:textId="77777777" w:rsidR="00C30390" w:rsidRPr="00292B7C" w:rsidRDefault="00C30390" w:rsidP="006E3732">
            <w:pPr>
              <w:numPr>
                <w:ilvl w:val="0"/>
                <w:numId w:val="9"/>
              </w:numPr>
              <w:spacing w:line="276" w:lineRule="auto"/>
              <w:jc w:val="both"/>
            </w:pPr>
            <w:r w:rsidRPr="00292B7C">
              <w:t>3 x Salary Life Cover via Local Government Pension Scheme</w:t>
            </w:r>
          </w:p>
          <w:p w14:paraId="5A3811CB" w14:textId="77777777" w:rsidR="00C30390" w:rsidRPr="00292B7C" w:rsidRDefault="00C30390" w:rsidP="006E3732">
            <w:pPr>
              <w:numPr>
                <w:ilvl w:val="0"/>
                <w:numId w:val="9"/>
              </w:numPr>
              <w:spacing w:line="276" w:lineRule="auto"/>
              <w:jc w:val="both"/>
            </w:pPr>
            <w:r w:rsidRPr="00292B7C">
              <w:t xml:space="preserve">Investment in your personal development </w:t>
            </w:r>
          </w:p>
          <w:p w14:paraId="340F8624" w14:textId="77777777" w:rsidR="00C30390" w:rsidRPr="00292B7C" w:rsidRDefault="00C30390" w:rsidP="006E3732">
            <w:pPr>
              <w:numPr>
                <w:ilvl w:val="0"/>
                <w:numId w:val="9"/>
              </w:numPr>
              <w:spacing w:line="276" w:lineRule="auto"/>
              <w:jc w:val="both"/>
            </w:pPr>
            <w:r w:rsidRPr="00292B7C">
              <w:t xml:space="preserve">Free Car Parking at HBC sites </w:t>
            </w:r>
          </w:p>
          <w:p w14:paraId="5299F469" w14:textId="77777777" w:rsidR="00C30390" w:rsidRPr="00292B7C" w:rsidRDefault="00C30390" w:rsidP="006E3732">
            <w:pPr>
              <w:numPr>
                <w:ilvl w:val="0"/>
                <w:numId w:val="9"/>
              </w:numPr>
              <w:spacing w:line="276" w:lineRule="auto"/>
              <w:jc w:val="both"/>
            </w:pPr>
            <w:r w:rsidRPr="00292B7C">
              <w:t>Flexible / hybrid working arrangements available</w:t>
            </w:r>
          </w:p>
          <w:p w14:paraId="7742381B" w14:textId="77777777" w:rsidR="00C30390" w:rsidRPr="00292B7C" w:rsidRDefault="00C30390" w:rsidP="006E3732">
            <w:pPr>
              <w:numPr>
                <w:ilvl w:val="0"/>
                <w:numId w:val="9"/>
              </w:numPr>
              <w:spacing w:line="276" w:lineRule="auto"/>
              <w:jc w:val="both"/>
            </w:pPr>
            <w:r w:rsidRPr="00292B7C">
              <w:t>Car leasing schemes</w:t>
            </w:r>
          </w:p>
          <w:p w14:paraId="426F6D74" w14:textId="2814C978" w:rsidR="00C30390" w:rsidRPr="00292B7C" w:rsidRDefault="002061AC" w:rsidP="006E3732">
            <w:pPr>
              <w:numPr>
                <w:ilvl w:val="0"/>
                <w:numId w:val="9"/>
              </w:numPr>
              <w:spacing w:line="276" w:lineRule="auto"/>
              <w:jc w:val="both"/>
            </w:pPr>
            <w:r>
              <w:t>Essential</w:t>
            </w:r>
            <w:r w:rsidR="00C30390" w:rsidRPr="00292B7C">
              <w:t xml:space="preserve"> Monthly Car User Allowance</w:t>
            </w:r>
          </w:p>
          <w:p w14:paraId="47C6C88B" w14:textId="77777777" w:rsidR="00C30390" w:rsidRPr="00292B7C" w:rsidRDefault="00C30390" w:rsidP="006E3732">
            <w:pPr>
              <w:spacing w:line="276" w:lineRule="auto"/>
              <w:jc w:val="both"/>
              <w:rPr>
                <w:i/>
                <w:iCs/>
              </w:rPr>
            </w:pPr>
          </w:p>
          <w:p w14:paraId="30084853" w14:textId="77777777" w:rsidR="00C30390" w:rsidRPr="00292B7C" w:rsidRDefault="00C30390" w:rsidP="006E3732">
            <w:pPr>
              <w:spacing w:line="276" w:lineRule="auto"/>
              <w:jc w:val="both"/>
              <w:rPr>
                <w:i/>
                <w:iCs/>
              </w:rPr>
            </w:pPr>
            <w:r w:rsidRPr="00292B7C">
              <w:rPr>
                <w:i/>
                <w:iCs/>
              </w:rPr>
              <w:t xml:space="preserve">For further information about all the benefits we offer, please click </w:t>
            </w:r>
            <w:hyperlink r:id="rId13" w:history="1">
              <w:r w:rsidRPr="00292B7C">
                <w:rPr>
                  <w:rStyle w:val="Hyperlink"/>
                  <w:i/>
                  <w:iCs/>
                </w:rPr>
                <w:t>HERE</w:t>
              </w:r>
            </w:hyperlink>
            <w:r w:rsidRPr="00292B7C">
              <w:rPr>
                <w:i/>
                <w:iCs/>
              </w:rPr>
              <w:t>.</w:t>
            </w:r>
          </w:p>
          <w:p w14:paraId="48CB6B19" w14:textId="77777777" w:rsidR="00C30390" w:rsidRPr="00292B7C" w:rsidRDefault="00C30390" w:rsidP="006E3732">
            <w:pPr>
              <w:spacing w:line="276" w:lineRule="auto"/>
              <w:jc w:val="both"/>
            </w:pPr>
          </w:p>
        </w:tc>
      </w:tr>
      <w:tr w:rsidR="00C30390" w:rsidRPr="00292B7C" w14:paraId="602212E8" w14:textId="77777777" w:rsidTr="00EE298F">
        <w:tc>
          <w:tcPr>
            <w:tcW w:w="9350" w:type="dxa"/>
            <w:gridSpan w:val="2"/>
            <w:tcBorders>
              <w:top w:val="single" w:sz="24" w:space="0" w:color="1BB6FF" w:themeColor="accent1" w:themeTint="99"/>
            </w:tcBorders>
          </w:tcPr>
          <w:p w14:paraId="11ED855E" w14:textId="77777777" w:rsidR="00C30390" w:rsidRPr="00292B7C" w:rsidRDefault="00C30390" w:rsidP="006E3732">
            <w:pPr>
              <w:pStyle w:val="Heading1"/>
              <w:spacing w:line="360" w:lineRule="auto"/>
              <w:jc w:val="both"/>
            </w:pPr>
            <w:r w:rsidRPr="00292B7C">
              <w:t xml:space="preserve">About the Job </w:t>
            </w:r>
          </w:p>
        </w:tc>
      </w:tr>
      <w:tr w:rsidR="00C30390" w:rsidRPr="00292B7C" w14:paraId="21BCB37F" w14:textId="77777777" w:rsidTr="00EE298F">
        <w:tc>
          <w:tcPr>
            <w:tcW w:w="9350" w:type="dxa"/>
            <w:gridSpan w:val="2"/>
          </w:tcPr>
          <w:p w14:paraId="1D4EF9C3" w14:textId="6649231B" w:rsidR="00C30390" w:rsidRPr="00292B7C" w:rsidRDefault="00C30390" w:rsidP="000755A1">
            <w:pPr>
              <w:spacing w:after="60"/>
              <w:jc w:val="both"/>
              <w:rPr>
                <w:rFonts w:cs="Arial"/>
              </w:rPr>
            </w:pPr>
            <w:r w:rsidRPr="00292B7C">
              <w:t xml:space="preserve">The </w:t>
            </w:r>
            <w:r w:rsidR="00855DE7" w:rsidRPr="00292B7C">
              <w:t>Education</w:t>
            </w:r>
            <w:r w:rsidRPr="00292B7C">
              <w:t xml:space="preserve"> Placement Officer will be responsible for </w:t>
            </w:r>
            <w:r w:rsidRPr="00292B7C">
              <w:rPr>
                <w:rFonts w:cs="Arial"/>
              </w:rPr>
              <w:t>sourcing education placements in the independent and non-maintained school sector.</w:t>
            </w:r>
          </w:p>
          <w:p w14:paraId="79D07BD6" w14:textId="0BBA4FF7" w:rsidR="00C30390" w:rsidRPr="00292B7C" w:rsidRDefault="00C30390" w:rsidP="003F7DFB">
            <w:pPr>
              <w:spacing w:after="60"/>
              <w:jc w:val="both"/>
            </w:pPr>
            <w:r w:rsidRPr="00292B7C">
              <w:t>More specific responsibilities include: -</w:t>
            </w:r>
          </w:p>
          <w:p w14:paraId="49837117" w14:textId="665A9A91" w:rsidR="00C30390" w:rsidRPr="00292B7C" w:rsidRDefault="00C30390" w:rsidP="007E0FC7">
            <w:pPr>
              <w:numPr>
                <w:ilvl w:val="0"/>
                <w:numId w:val="9"/>
              </w:numPr>
              <w:spacing w:after="60"/>
              <w:ind w:left="714" w:hanging="357"/>
              <w:jc w:val="both"/>
              <w:rPr>
                <w:rFonts w:asciiTheme="majorHAnsi" w:hAnsiTheme="majorHAnsi" w:cs="Arial"/>
              </w:rPr>
            </w:pPr>
            <w:r w:rsidRPr="00292B7C">
              <w:rPr>
                <w:rFonts w:asciiTheme="majorHAnsi" w:hAnsiTheme="majorHAnsi" w:cs="Arial"/>
              </w:rPr>
              <w:t xml:space="preserve">Conducting </w:t>
            </w:r>
            <w:r w:rsidR="00560599" w:rsidRPr="00292B7C">
              <w:rPr>
                <w:rFonts w:asciiTheme="majorHAnsi" w:hAnsiTheme="majorHAnsi" w:cs="Arial"/>
              </w:rPr>
              <w:t>regional searches</w:t>
            </w:r>
            <w:r w:rsidR="006D1440" w:rsidRPr="00292B7C">
              <w:rPr>
                <w:rFonts w:asciiTheme="majorHAnsi" w:hAnsiTheme="majorHAnsi" w:cs="Arial"/>
              </w:rPr>
              <w:t xml:space="preserve"> of</w:t>
            </w:r>
            <w:r w:rsidRPr="00292B7C">
              <w:rPr>
                <w:rFonts w:asciiTheme="majorHAnsi" w:hAnsiTheme="majorHAnsi" w:cs="Arial"/>
              </w:rPr>
              <w:t xml:space="preserve"> schools to source and secure appropriate high quality education placements based on the identified needs of children and young people in accordance with Commissioning Team processes and statutory requirements.</w:t>
            </w:r>
          </w:p>
          <w:p w14:paraId="61E6261D" w14:textId="06F9303E" w:rsidR="00B209FC" w:rsidRPr="00292B7C" w:rsidRDefault="00B209FC" w:rsidP="007E0FC7">
            <w:pPr>
              <w:numPr>
                <w:ilvl w:val="0"/>
                <w:numId w:val="9"/>
              </w:numPr>
              <w:spacing w:after="60"/>
              <w:ind w:left="714" w:hanging="357"/>
              <w:jc w:val="both"/>
              <w:rPr>
                <w:rFonts w:asciiTheme="majorHAnsi" w:hAnsiTheme="majorHAnsi" w:cs="Arial"/>
              </w:rPr>
            </w:pPr>
            <w:r w:rsidRPr="00292B7C">
              <w:rPr>
                <w:rFonts w:asciiTheme="majorHAnsi" w:hAnsiTheme="majorHAnsi" w:cs="Arial"/>
              </w:rPr>
              <w:lastRenderedPageBreak/>
              <w:t>To maintain and update appropriate records and reports within the required timescale, in order to maintain an audit trail of  challenge and support as required by the service.</w:t>
            </w:r>
          </w:p>
          <w:p w14:paraId="572F7957" w14:textId="362EB56A" w:rsidR="00C30390" w:rsidRPr="00292B7C" w:rsidRDefault="00B209FC" w:rsidP="005374E6">
            <w:pPr>
              <w:numPr>
                <w:ilvl w:val="0"/>
                <w:numId w:val="9"/>
              </w:numPr>
              <w:spacing w:after="60"/>
              <w:ind w:left="714" w:hanging="357"/>
              <w:jc w:val="both"/>
              <w:rPr>
                <w:rFonts w:asciiTheme="majorHAnsi" w:hAnsiTheme="majorHAnsi" w:cs="Arial"/>
              </w:rPr>
            </w:pPr>
            <w:r w:rsidRPr="00292B7C">
              <w:rPr>
                <w:rFonts w:asciiTheme="majorHAnsi" w:hAnsiTheme="majorHAnsi" w:cs="Arial"/>
              </w:rPr>
              <w:t>Working with relevant partners to p</w:t>
            </w:r>
            <w:r w:rsidR="00C30390" w:rsidRPr="00292B7C">
              <w:rPr>
                <w:rFonts w:asciiTheme="majorHAnsi" w:hAnsiTheme="majorHAnsi" w:cs="Arial"/>
              </w:rPr>
              <w:t>rovid</w:t>
            </w:r>
            <w:r w:rsidRPr="00292B7C">
              <w:rPr>
                <w:rFonts w:asciiTheme="majorHAnsi" w:hAnsiTheme="majorHAnsi" w:cs="Arial"/>
              </w:rPr>
              <w:t xml:space="preserve">e </w:t>
            </w:r>
            <w:r w:rsidR="00C30390" w:rsidRPr="00292B7C">
              <w:rPr>
                <w:rFonts w:asciiTheme="majorHAnsi" w:hAnsiTheme="majorHAnsi" w:cs="Arial"/>
              </w:rPr>
              <w:t xml:space="preserve">advice, guidance and support regarding placement </w:t>
            </w:r>
            <w:r w:rsidRPr="00292B7C">
              <w:rPr>
                <w:rFonts w:asciiTheme="majorHAnsi" w:hAnsiTheme="majorHAnsi" w:cs="Arial"/>
              </w:rPr>
              <w:t>matters. To ensure staff are aware of p</w:t>
            </w:r>
            <w:r w:rsidR="00C30390" w:rsidRPr="00292B7C">
              <w:rPr>
                <w:rFonts w:asciiTheme="majorHAnsi" w:hAnsiTheme="majorHAnsi" w:cs="Arial"/>
              </w:rPr>
              <w:t>lacement options and consultation responses, and advising on processes and procedures, including approval processes, completion of paperwork, following up queries, and providing challenge when processes are not followed or issues arise.</w:t>
            </w:r>
          </w:p>
          <w:p w14:paraId="57C42B4A" w14:textId="062F0BA5" w:rsidR="00B209FC" w:rsidRPr="00292B7C" w:rsidRDefault="00B209FC" w:rsidP="00B209FC">
            <w:pPr>
              <w:pStyle w:val="ListParagraph"/>
              <w:numPr>
                <w:ilvl w:val="0"/>
                <w:numId w:val="9"/>
              </w:numPr>
              <w:rPr>
                <w:rFonts w:asciiTheme="majorHAnsi" w:eastAsiaTheme="minorHAnsi" w:hAnsiTheme="majorHAnsi" w:cs="Arial"/>
                <w:color w:val="005A84" w:themeColor="text1"/>
                <w:sz w:val="20"/>
                <w:szCs w:val="22"/>
              </w:rPr>
            </w:pPr>
            <w:r w:rsidRPr="00292B7C">
              <w:rPr>
                <w:rFonts w:asciiTheme="majorHAnsi" w:eastAsiaTheme="minorHAnsi" w:hAnsiTheme="majorHAnsi" w:cs="Arial"/>
                <w:color w:val="005A84" w:themeColor="text1"/>
                <w:sz w:val="20"/>
                <w:szCs w:val="22"/>
              </w:rPr>
              <w:t>To devise a data system that effectively monitors and records placement requests, agreed placements and payments.</w:t>
            </w:r>
          </w:p>
          <w:p w14:paraId="6E4D3F61" w14:textId="0CEF7574" w:rsidR="00B209FC" w:rsidRPr="00292B7C" w:rsidRDefault="00B209FC" w:rsidP="00AD460A">
            <w:pPr>
              <w:pStyle w:val="ListParagraph"/>
              <w:numPr>
                <w:ilvl w:val="0"/>
                <w:numId w:val="9"/>
              </w:numPr>
              <w:rPr>
                <w:rFonts w:asciiTheme="majorHAnsi" w:eastAsiaTheme="minorHAnsi" w:hAnsiTheme="majorHAnsi" w:cs="Arial"/>
                <w:color w:val="005A84" w:themeColor="text1"/>
                <w:sz w:val="20"/>
                <w:szCs w:val="22"/>
              </w:rPr>
            </w:pPr>
            <w:r w:rsidRPr="00292B7C">
              <w:rPr>
                <w:rFonts w:asciiTheme="majorHAnsi" w:eastAsiaTheme="minorHAnsi" w:hAnsiTheme="majorHAnsi" w:cs="Arial"/>
                <w:color w:val="005A84" w:themeColor="text1"/>
                <w:sz w:val="20"/>
                <w:szCs w:val="22"/>
              </w:rPr>
              <w:t>To devise a system that effectively monitors and records Contracts and Individual Placement Agreements with providers following approval processes, which clarify the terms and expectations of the placement.</w:t>
            </w:r>
          </w:p>
          <w:p w14:paraId="217D31B1" w14:textId="3A526060" w:rsidR="00B209FC" w:rsidRPr="00292B7C" w:rsidRDefault="00B209FC" w:rsidP="00B209FC">
            <w:pPr>
              <w:pStyle w:val="ListParagraph"/>
              <w:numPr>
                <w:ilvl w:val="0"/>
                <w:numId w:val="9"/>
              </w:numPr>
              <w:rPr>
                <w:rFonts w:asciiTheme="majorHAnsi" w:eastAsiaTheme="minorHAnsi" w:hAnsiTheme="majorHAnsi" w:cs="Arial"/>
                <w:color w:val="005A84" w:themeColor="text1"/>
                <w:sz w:val="20"/>
                <w:szCs w:val="22"/>
              </w:rPr>
            </w:pPr>
            <w:r w:rsidRPr="00292B7C">
              <w:rPr>
                <w:rFonts w:asciiTheme="majorHAnsi" w:eastAsiaTheme="minorHAnsi" w:hAnsiTheme="majorHAnsi" w:cs="Arial"/>
                <w:color w:val="005A84" w:themeColor="text1"/>
                <w:sz w:val="20"/>
                <w:szCs w:val="22"/>
              </w:rPr>
              <w:t xml:space="preserve">Support colleagues across the partnership with information required in relation to the referral process. Ensuring that all data is recording in appropriate council system in order to support data returns. </w:t>
            </w:r>
          </w:p>
          <w:p w14:paraId="20053F39" w14:textId="2E02BC05" w:rsidR="00C30390" w:rsidRPr="00292B7C" w:rsidRDefault="00C30390" w:rsidP="00726E5C">
            <w:pPr>
              <w:numPr>
                <w:ilvl w:val="0"/>
                <w:numId w:val="9"/>
              </w:numPr>
              <w:spacing w:after="60"/>
              <w:ind w:left="714" w:hanging="357"/>
              <w:jc w:val="both"/>
              <w:rPr>
                <w:rFonts w:asciiTheme="majorHAnsi" w:hAnsiTheme="majorHAnsi" w:cs="Arial"/>
              </w:rPr>
            </w:pPr>
            <w:r w:rsidRPr="00292B7C">
              <w:rPr>
                <w:rFonts w:asciiTheme="majorHAnsi" w:hAnsiTheme="majorHAnsi" w:cs="Arial"/>
              </w:rPr>
              <w:t>Developing and maintaining good communication and acting as a point of contact during the referral process, working closely with colleagues within children’s services and external partners including schools and health services.</w:t>
            </w:r>
          </w:p>
          <w:p w14:paraId="10BAA347" w14:textId="6F7BA969" w:rsidR="00C30390" w:rsidRPr="00292B7C" w:rsidRDefault="00B209FC" w:rsidP="00726E5C">
            <w:pPr>
              <w:numPr>
                <w:ilvl w:val="0"/>
                <w:numId w:val="9"/>
              </w:numPr>
              <w:spacing w:after="60"/>
              <w:ind w:left="714" w:hanging="357"/>
              <w:jc w:val="both"/>
              <w:rPr>
                <w:rFonts w:asciiTheme="majorHAnsi" w:hAnsiTheme="majorHAnsi" w:cs="Arial"/>
              </w:rPr>
            </w:pPr>
            <w:r w:rsidRPr="00292B7C">
              <w:rPr>
                <w:rFonts w:asciiTheme="majorHAnsi" w:hAnsiTheme="majorHAnsi" w:cs="Arial"/>
              </w:rPr>
              <w:t xml:space="preserve">To collate and monitor the </w:t>
            </w:r>
            <w:r w:rsidR="00C30390" w:rsidRPr="00292B7C">
              <w:rPr>
                <w:rFonts w:asciiTheme="majorHAnsi" w:hAnsiTheme="majorHAnsi" w:cs="Arial"/>
              </w:rPr>
              <w:t xml:space="preserve">processing and payment of invoices in accordance with financial regulations and standing orders of the Council. </w:t>
            </w:r>
          </w:p>
          <w:p w14:paraId="7E784367" w14:textId="2A5F9970" w:rsidR="00C30390" w:rsidRPr="00292B7C" w:rsidRDefault="00B209FC" w:rsidP="00726E5C">
            <w:pPr>
              <w:numPr>
                <w:ilvl w:val="0"/>
                <w:numId w:val="9"/>
              </w:numPr>
              <w:spacing w:after="60"/>
              <w:ind w:left="714" w:hanging="357"/>
              <w:jc w:val="both"/>
              <w:rPr>
                <w:rFonts w:asciiTheme="majorHAnsi" w:hAnsiTheme="majorHAnsi" w:cs="Arial"/>
              </w:rPr>
            </w:pPr>
            <w:r w:rsidRPr="00292B7C">
              <w:rPr>
                <w:rFonts w:asciiTheme="majorHAnsi" w:hAnsiTheme="majorHAnsi" w:cs="Arial"/>
              </w:rPr>
              <w:t>To analyse and collate information and feedback to demonstrate the impact of the placement process</w:t>
            </w:r>
            <w:r w:rsidR="00292B7C">
              <w:rPr>
                <w:rFonts w:asciiTheme="majorHAnsi" w:hAnsiTheme="majorHAnsi" w:cs="Arial"/>
              </w:rPr>
              <w:t xml:space="preserve"> and its impact on commissioning activity.</w:t>
            </w:r>
          </w:p>
          <w:p w14:paraId="3081E721" w14:textId="01887303" w:rsidR="00C30390" w:rsidRPr="00292B7C" w:rsidRDefault="00292B7C" w:rsidP="00B00F61">
            <w:pPr>
              <w:numPr>
                <w:ilvl w:val="0"/>
                <w:numId w:val="9"/>
              </w:numPr>
              <w:jc w:val="both"/>
              <w:rPr>
                <w:rFonts w:asciiTheme="majorHAnsi" w:hAnsiTheme="majorHAnsi" w:cs="Arial"/>
              </w:rPr>
            </w:pPr>
            <w:r>
              <w:rPr>
                <w:rFonts w:asciiTheme="majorHAnsi" w:hAnsiTheme="majorHAnsi" w:cs="Arial"/>
              </w:rPr>
              <w:t>Provide</w:t>
            </w:r>
            <w:r w:rsidR="00C30390" w:rsidRPr="00292B7C">
              <w:rPr>
                <w:rFonts w:asciiTheme="majorHAnsi" w:hAnsiTheme="majorHAnsi" w:cs="Arial"/>
              </w:rPr>
              <w:t xml:space="preserve"> information </w:t>
            </w:r>
            <w:r>
              <w:rPr>
                <w:rFonts w:asciiTheme="majorHAnsi" w:hAnsiTheme="majorHAnsi" w:cs="Arial"/>
              </w:rPr>
              <w:t xml:space="preserve">to Commissioners and Senior Management to support the monitoring of education placement market </w:t>
            </w:r>
            <w:r w:rsidR="00C30390" w:rsidRPr="00292B7C">
              <w:rPr>
                <w:rFonts w:asciiTheme="majorHAnsi" w:hAnsiTheme="majorHAnsi" w:cs="Arial"/>
              </w:rPr>
              <w:t>including new independent and non-maintained schools and maintain</w:t>
            </w:r>
            <w:r w:rsidR="00763022" w:rsidRPr="00292B7C">
              <w:rPr>
                <w:rFonts w:asciiTheme="majorHAnsi" w:hAnsiTheme="majorHAnsi" w:cs="Arial"/>
              </w:rPr>
              <w:t>ing</w:t>
            </w:r>
            <w:r w:rsidR="00C30390" w:rsidRPr="00292B7C">
              <w:rPr>
                <w:rFonts w:asciiTheme="majorHAnsi" w:hAnsiTheme="majorHAnsi" w:cs="Arial"/>
              </w:rPr>
              <w:t xml:space="preserve"> up to date information such as Ofsted inspection gradings.</w:t>
            </w:r>
          </w:p>
          <w:p w14:paraId="3D77386E" w14:textId="77777777" w:rsidR="00C30390" w:rsidRPr="00292B7C" w:rsidRDefault="00C30390" w:rsidP="006E3732">
            <w:pPr>
              <w:spacing w:line="276" w:lineRule="auto"/>
              <w:jc w:val="both"/>
            </w:pPr>
          </w:p>
        </w:tc>
      </w:tr>
      <w:tr w:rsidR="00C30390" w:rsidRPr="00292B7C" w14:paraId="0923CB86" w14:textId="77777777" w:rsidTr="00EE298F">
        <w:tc>
          <w:tcPr>
            <w:tcW w:w="9350" w:type="dxa"/>
            <w:gridSpan w:val="2"/>
            <w:tcBorders>
              <w:top w:val="single" w:sz="24" w:space="0" w:color="1BB6FF" w:themeColor="accent1" w:themeTint="99"/>
            </w:tcBorders>
          </w:tcPr>
          <w:p w14:paraId="5F3ED950" w14:textId="77777777" w:rsidR="00C30390" w:rsidRPr="00292B7C" w:rsidRDefault="00C30390" w:rsidP="006E3732">
            <w:pPr>
              <w:pStyle w:val="Heading1"/>
              <w:spacing w:line="360" w:lineRule="auto"/>
              <w:jc w:val="both"/>
            </w:pPr>
            <w:r w:rsidRPr="00292B7C">
              <w:lastRenderedPageBreak/>
              <w:t>About You</w:t>
            </w:r>
          </w:p>
        </w:tc>
      </w:tr>
      <w:tr w:rsidR="00C30390" w:rsidRPr="00292B7C" w14:paraId="0FBE8588" w14:textId="77777777" w:rsidTr="00EE298F">
        <w:tc>
          <w:tcPr>
            <w:tcW w:w="9350" w:type="dxa"/>
            <w:gridSpan w:val="2"/>
          </w:tcPr>
          <w:p w14:paraId="1099522B" w14:textId="5577F0A1" w:rsidR="00CF0355" w:rsidRPr="00292B7C" w:rsidRDefault="00CF0355" w:rsidP="00CF0355">
            <w:pPr>
              <w:spacing w:line="276" w:lineRule="auto"/>
              <w:jc w:val="both"/>
            </w:pPr>
            <w:r w:rsidRPr="00292B7C">
              <w:t>The postholder will hold</w:t>
            </w:r>
            <w:r w:rsidR="00B87CA1" w:rsidRPr="00292B7C">
              <w:t xml:space="preserve"> NVQ Level 3 or equivalent </w:t>
            </w:r>
            <w:r w:rsidRPr="00292B7C">
              <w:t xml:space="preserve">and have experience of working </w:t>
            </w:r>
            <w:r w:rsidR="00A13C8C" w:rsidRPr="00292B7C">
              <w:t>within a related Council area or within an e</w:t>
            </w:r>
            <w:r w:rsidRPr="00292B7C">
              <w:t>ducation</w:t>
            </w:r>
            <w:r w:rsidR="00A13C8C" w:rsidRPr="00292B7C">
              <w:t>, h</w:t>
            </w:r>
            <w:r w:rsidRPr="00292B7C">
              <w:t>ealth or social care setting.</w:t>
            </w:r>
          </w:p>
          <w:p w14:paraId="652B9E1A" w14:textId="77777777" w:rsidR="00C30390" w:rsidRPr="00292B7C" w:rsidRDefault="00C30390" w:rsidP="006E3732">
            <w:pPr>
              <w:spacing w:line="276" w:lineRule="auto"/>
              <w:jc w:val="both"/>
            </w:pPr>
          </w:p>
          <w:p w14:paraId="555D44AE" w14:textId="77777777" w:rsidR="00C30390" w:rsidRPr="00292B7C" w:rsidRDefault="00C30390" w:rsidP="006E3732">
            <w:pPr>
              <w:spacing w:line="276" w:lineRule="auto"/>
              <w:jc w:val="both"/>
            </w:pPr>
            <w:r w:rsidRPr="00292B7C">
              <w:t>In addition you will have:</w:t>
            </w:r>
          </w:p>
          <w:p w14:paraId="28FD6BF5" w14:textId="77777777" w:rsidR="00D42EC8" w:rsidRPr="00292B7C" w:rsidRDefault="00C42C0B" w:rsidP="00BD16AA">
            <w:pPr>
              <w:numPr>
                <w:ilvl w:val="0"/>
                <w:numId w:val="9"/>
              </w:numPr>
              <w:spacing w:line="276" w:lineRule="auto"/>
              <w:jc w:val="both"/>
            </w:pPr>
            <w:r w:rsidRPr="00292B7C">
              <w:t>Excellent</w:t>
            </w:r>
            <w:r w:rsidR="008A724D" w:rsidRPr="00292B7C">
              <w:t xml:space="preserve"> written and verbal </w:t>
            </w:r>
            <w:r w:rsidRPr="00292B7C">
              <w:t>communication skills</w:t>
            </w:r>
            <w:r w:rsidR="003C53EB" w:rsidRPr="00292B7C">
              <w:t xml:space="preserve"> </w:t>
            </w:r>
            <w:r w:rsidR="00020249" w:rsidRPr="00292B7C">
              <w:t xml:space="preserve">including </w:t>
            </w:r>
            <w:r w:rsidR="00445158" w:rsidRPr="00292B7C">
              <w:t>face to face</w:t>
            </w:r>
            <w:r w:rsidR="00020249" w:rsidRPr="00292B7C">
              <w:t xml:space="preserve">, phone and </w:t>
            </w:r>
            <w:r w:rsidR="00D42EC8" w:rsidRPr="00292B7C">
              <w:t>on-line systems</w:t>
            </w:r>
          </w:p>
          <w:p w14:paraId="76209D00" w14:textId="7DA473DA" w:rsidR="00C30390" w:rsidRDefault="00C30390" w:rsidP="00BD16AA">
            <w:pPr>
              <w:numPr>
                <w:ilvl w:val="0"/>
                <w:numId w:val="9"/>
              </w:numPr>
              <w:spacing w:line="276" w:lineRule="auto"/>
              <w:jc w:val="both"/>
            </w:pPr>
            <w:r w:rsidRPr="00292B7C">
              <w:t>Experience of collaborative working with a range of partners and providers, and being able to influence, persuade and negotiate.</w:t>
            </w:r>
          </w:p>
          <w:p w14:paraId="57E7A1A5" w14:textId="10268E8F" w:rsidR="00292B7C" w:rsidRDefault="00292B7C" w:rsidP="00BD16AA">
            <w:pPr>
              <w:numPr>
                <w:ilvl w:val="0"/>
                <w:numId w:val="9"/>
              </w:numPr>
              <w:spacing w:line="276" w:lineRule="auto"/>
              <w:jc w:val="both"/>
            </w:pPr>
            <w:r w:rsidRPr="00292B7C">
              <w:t>Experience in using systems</w:t>
            </w:r>
            <w:r>
              <w:t xml:space="preserve"> to analyse </w:t>
            </w:r>
            <w:r w:rsidRPr="00292B7C">
              <w:t xml:space="preserve">information; uptake </w:t>
            </w:r>
            <w:r w:rsidR="00EE298F">
              <w:t xml:space="preserve">of placements </w:t>
            </w:r>
            <w:r w:rsidRPr="00292B7C">
              <w:t>and reporting to key stakeholders.</w:t>
            </w:r>
          </w:p>
          <w:p w14:paraId="6DEDBE3B" w14:textId="6C5F1C24" w:rsidR="00292B7C" w:rsidRDefault="00292B7C" w:rsidP="00BD16AA">
            <w:pPr>
              <w:numPr>
                <w:ilvl w:val="0"/>
                <w:numId w:val="9"/>
              </w:numPr>
              <w:spacing w:line="276" w:lineRule="auto"/>
              <w:jc w:val="both"/>
            </w:pPr>
            <w:r w:rsidRPr="00292B7C">
              <w:t xml:space="preserve">Experience of working with, challenging and supporting </w:t>
            </w:r>
            <w:r>
              <w:t xml:space="preserve">providers, settings </w:t>
            </w:r>
            <w:r w:rsidRPr="00292B7C">
              <w:t>and schools.</w:t>
            </w:r>
          </w:p>
          <w:p w14:paraId="30F1037B" w14:textId="3D0AC0C0" w:rsidR="00292B7C" w:rsidRPr="00292B7C" w:rsidRDefault="00292B7C" w:rsidP="00BD16AA">
            <w:pPr>
              <w:numPr>
                <w:ilvl w:val="0"/>
                <w:numId w:val="9"/>
              </w:numPr>
              <w:spacing w:line="276" w:lineRule="auto"/>
              <w:jc w:val="both"/>
            </w:pPr>
            <w:r w:rsidRPr="00292B7C">
              <w:t>Experience of writing reports identifying key lines of enquiry and demonstrating impact.</w:t>
            </w:r>
          </w:p>
          <w:p w14:paraId="4A409DE8" w14:textId="77777777" w:rsidR="00C30390" w:rsidRPr="00292B7C" w:rsidRDefault="00C30390" w:rsidP="006E3732">
            <w:pPr>
              <w:numPr>
                <w:ilvl w:val="0"/>
                <w:numId w:val="9"/>
              </w:numPr>
              <w:spacing w:line="276" w:lineRule="auto"/>
              <w:jc w:val="both"/>
            </w:pPr>
            <w:r w:rsidRPr="00292B7C">
              <w:t>A sound knowledge and understanding of Equality and Diversity, with the ability to focus on and deliver a quality service to the agreed standards.</w:t>
            </w:r>
          </w:p>
          <w:p w14:paraId="2BF69763" w14:textId="49D528FE" w:rsidR="00C30390" w:rsidRDefault="00D42EC8" w:rsidP="006E3732">
            <w:pPr>
              <w:numPr>
                <w:ilvl w:val="0"/>
                <w:numId w:val="9"/>
              </w:numPr>
              <w:spacing w:line="276" w:lineRule="auto"/>
              <w:jc w:val="both"/>
            </w:pPr>
            <w:r w:rsidRPr="00292B7C">
              <w:t>A</w:t>
            </w:r>
            <w:r w:rsidR="00C30390" w:rsidRPr="00292B7C">
              <w:t xml:space="preserve"> clear aptitude with Information Technology and a range of systems that support brokering and monitoring </w:t>
            </w:r>
            <w:r w:rsidR="000C0101" w:rsidRPr="00292B7C">
              <w:t>arrangements</w:t>
            </w:r>
            <w:r w:rsidR="00C30390" w:rsidRPr="00292B7C">
              <w:t>.</w:t>
            </w:r>
          </w:p>
          <w:p w14:paraId="6281EC9F" w14:textId="0E7777A0" w:rsidR="00C30390" w:rsidRPr="00292B7C" w:rsidRDefault="00292B7C" w:rsidP="00EE298F">
            <w:pPr>
              <w:numPr>
                <w:ilvl w:val="0"/>
                <w:numId w:val="9"/>
              </w:numPr>
              <w:spacing w:line="276" w:lineRule="auto"/>
              <w:jc w:val="both"/>
            </w:pPr>
            <w:r w:rsidRPr="00292B7C">
              <w:t>Experience of working effectively with multi agency teams.</w:t>
            </w:r>
            <w:r w:rsidR="00EE298F">
              <w:t xml:space="preserve"> With t</w:t>
            </w:r>
            <w:r w:rsidR="00C30390" w:rsidRPr="00292B7C">
              <w:t>he ability to solve problems and issues and make rational, realistic and sound judgements. ability to plan ahead and work in a systematic and organised way, manage time well and follow direction and procedures.</w:t>
            </w:r>
          </w:p>
          <w:p w14:paraId="098A48B6" w14:textId="3C823366" w:rsidR="00660F51" w:rsidRDefault="00C30390" w:rsidP="00660F51">
            <w:pPr>
              <w:numPr>
                <w:ilvl w:val="0"/>
                <w:numId w:val="9"/>
              </w:numPr>
              <w:spacing w:line="276" w:lineRule="auto"/>
              <w:jc w:val="both"/>
            </w:pPr>
            <w:r w:rsidRPr="00292B7C">
              <w:t>The ability to work irregular/unsocial hours and travel as needed</w:t>
            </w:r>
          </w:p>
          <w:p w14:paraId="4EFE7741" w14:textId="77777777" w:rsidR="00660F51" w:rsidRDefault="00660F51" w:rsidP="00660F51">
            <w:pPr>
              <w:spacing w:line="276" w:lineRule="auto"/>
              <w:jc w:val="both"/>
            </w:pPr>
          </w:p>
          <w:p w14:paraId="35B8461D" w14:textId="79669BE0" w:rsidR="00660F51" w:rsidRDefault="00660F51" w:rsidP="00660F51">
            <w:pPr>
              <w:spacing w:line="276" w:lineRule="auto"/>
              <w:jc w:val="both"/>
            </w:pPr>
            <w:r>
              <w:lastRenderedPageBreak/>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0B6627DD" w14:textId="77777777" w:rsidR="00660F51" w:rsidRPr="00292B7C" w:rsidRDefault="00660F51" w:rsidP="00660F51">
            <w:pPr>
              <w:spacing w:line="276" w:lineRule="auto"/>
              <w:jc w:val="both"/>
            </w:pPr>
          </w:p>
          <w:p w14:paraId="06629A1A" w14:textId="77777777" w:rsidR="00C30390" w:rsidRPr="00292B7C" w:rsidRDefault="00C30390" w:rsidP="006E3732">
            <w:pPr>
              <w:spacing w:line="276" w:lineRule="auto"/>
              <w:jc w:val="both"/>
            </w:pPr>
            <w:r w:rsidRPr="00292B7C">
              <w:t>The Council and its schools are committed to safeguarding and promoting the welfare of children, young people and adults and expect all staff, workers and volunteers to share its commitment.</w:t>
            </w:r>
          </w:p>
        </w:tc>
      </w:tr>
      <w:tr w:rsidR="00C30390" w:rsidRPr="00292B7C" w14:paraId="247BC39D" w14:textId="77777777" w:rsidTr="00EE298F">
        <w:tc>
          <w:tcPr>
            <w:tcW w:w="9350" w:type="dxa"/>
            <w:gridSpan w:val="2"/>
          </w:tcPr>
          <w:p w14:paraId="1B155AB8" w14:textId="77777777" w:rsidR="00C30390" w:rsidRPr="00292B7C" w:rsidRDefault="00C30390" w:rsidP="00E301C7"/>
        </w:tc>
      </w:tr>
      <w:tr w:rsidR="00C30390" w:rsidRPr="00292B7C" w14:paraId="25144E2C" w14:textId="77777777" w:rsidTr="00EE298F">
        <w:trPr>
          <w:trHeight w:val="187"/>
        </w:trPr>
        <w:tc>
          <w:tcPr>
            <w:tcW w:w="9350" w:type="dxa"/>
            <w:gridSpan w:val="2"/>
            <w:tcBorders>
              <w:top w:val="single" w:sz="24" w:space="0" w:color="1BB6FF" w:themeColor="accent1" w:themeTint="99"/>
            </w:tcBorders>
          </w:tcPr>
          <w:p w14:paraId="3B0C1ACD" w14:textId="77777777" w:rsidR="00C30390" w:rsidRPr="00292B7C" w:rsidRDefault="00C30390" w:rsidP="00E301C7">
            <w:pPr>
              <w:rPr>
                <w:sz w:val="12"/>
                <w:szCs w:val="14"/>
              </w:rPr>
            </w:pPr>
          </w:p>
        </w:tc>
      </w:tr>
      <w:tr w:rsidR="00C30390" w:rsidRPr="00292B7C" w14:paraId="2002A168" w14:textId="77777777" w:rsidTr="00EE298F">
        <w:trPr>
          <w:trHeight w:val="205"/>
        </w:trPr>
        <w:tc>
          <w:tcPr>
            <w:tcW w:w="9350" w:type="dxa"/>
            <w:gridSpan w:val="2"/>
          </w:tcPr>
          <w:p w14:paraId="1707C44E" w14:textId="77777777" w:rsidR="00C30390" w:rsidRPr="00292B7C" w:rsidRDefault="00C30390" w:rsidP="0009529B">
            <w:pPr>
              <w:jc w:val="right"/>
              <w:rPr>
                <w:sz w:val="12"/>
                <w:szCs w:val="14"/>
              </w:rPr>
            </w:pPr>
          </w:p>
        </w:tc>
      </w:tr>
    </w:tbl>
    <w:p w14:paraId="1FF6C7AF" w14:textId="77777777" w:rsidR="00B97621" w:rsidRPr="008B7496" w:rsidRDefault="00B97621" w:rsidP="00EE298F">
      <w:pPr>
        <w:rPr>
          <w:sz w:val="8"/>
          <w:szCs w:val="10"/>
        </w:rPr>
      </w:pPr>
    </w:p>
    <w:sectPr w:rsidR="00B97621" w:rsidRPr="008B7496"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AA66" w14:textId="77777777" w:rsidR="003210A8" w:rsidRPr="00292B7C" w:rsidRDefault="003210A8" w:rsidP="00BC73FC">
      <w:r w:rsidRPr="00292B7C">
        <w:separator/>
      </w:r>
    </w:p>
  </w:endnote>
  <w:endnote w:type="continuationSeparator" w:id="0">
    <w:p w14:paraId="76008F49" w14:textId="77777777" w:rsidR="003210A8" w:rsidRPr="00292B7C" w:rsidRDefault="003210A8" w:rsidP="00BC73FC">
      <w:r w:rsidRPr="00292B7C">
        <w:continuationSeparator/>
      </w:r>
    </w:p>
  </w:endnote>
  <w:endnote w:type="continuationNotice" w:id="1">
    <w:p w14:paraId="422A7A32" w14:textId="77777777" w:rsidR="003210A8" w:rsidRPr="00292B7C" w:rsidRDefault="00321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D222" w14:textId="77777777" w:rsidR="003210A8" w:rsidRPr="00292B7C" w:rsidRDefault="003210A8" w:rsidP="00BC73FC">
      <w:r w:rsidRPr="00292B7C">
        <w:separator/>
      </w:r>
    </w:p>
  </w:footnote>
  <w:footnote w:type="continuationSeparator" w:id="0">
    <w:p w14:paraId="1951C3B3" w14:textId="77777777" w:rsidR="003210A8" w:rsidRPr="00292B7C" w:rsidRDefault="003210A8" w:rsidP="00BC73FC">
      <w:r w:rsidRPr="00292B7C">
        <w:continuationSeparator/>
      </w:r>
    </w:p>
  </w:footnote>
  <w:footnote w:type="continuationNotice" w:id="1">
    <w:p w14:paraId="16293A41" w14:textId="77777777" w:rsidR="003210A8" w:rsidRPr="00292B7C" w:rsidRDefault="003210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2B04E1"/>
    <w:multiLevelType w:val="hybridMultilevel"/>
    <w:tmpl w:val="BE7648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626413"/>
    <w:multiLevelType w:val="hybridMultilevel"/>
    <w:tmpl w:val="6D5E4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3"/>
  </w:num>
  <w:num w:numId="8" w16cid:durableId="2094618771">
    <w:abstractNumId w:val="16"/>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5"/>
  </w:num>
  <w:num w:numId="22" w16cid:durableId="1128014861">
    <w:abstractNumId w:val="20"/>
  </w:num>
  <w:num w:numId="23" w16cid:durableId="444471535">
    <w:abstractNumId w:val="11"/>
  </w:num>
  <w:num w:numId="24" w16cid:durableId="166871936">
    <w:abstractNumId w:val="22"/>
  </w:num>
  <w:num w:numId="25" w16cid:durableId="8989049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013C"/>
    <w:rsid w:val="000109EC"/>
    <w:rsid w:val="000145F9"/>
    <w:rsid w:val="00016E8E"/>
    <w:rsid w:val="00020249"/>
    <w:rsid w:val="000275E3"/>
    <w:rsid w:val="00046A13"/>
    <w:rsid w:val="00060551"/>
    <w:rsid w:val="00060A4B"/>
    <w:rsid w:val="00066601"/>
    <w:rsid w:val="000755A1"/>
    <w:rsid w:val="000761F2"/>
    <w:rsid w:val="0008660A"/>
    <w:rsid w:val="00086658"/>
    <w:rsid w:val="0009529B"/>
    <w:rsid w:val="00096ACB"/>
    <w:rsid w:val="000C0101"/>
    <w:rsid w:val="000C2066"/>
    <w:rsid w:val="000D712A"/>
    <w:rsid w:val="000E15F3"/>
    <w:rsid w:val="000E1C8B"/>
    <w:rsid w:val="000E28A7"/>
    <w:rsid w:val="000E2D38"/>
    <w:rsid w:val="000F7375"/>
    <w:rsid w:val="00104045"/>
    <w:rsid w:val="0010498C"/>
    <w:rsid w:val="00105E33"/>
    <w:rsid w:val="001272E2"/>
    <w:rsid w:val="00130A50"/>
    <w:rsid w:val="00130C0A"/>
    <w:rsid w:val="001360EF"/>
    <w:rsid w:val="00141C6D"/>
    <w:rsid w:val="00144FDA"/>
    <w:rsid w:val="00164206"/>
    <w:rsid w:val="00164EA8"/>
    <w:rsid w:val="0016524D"/>
    <w:rsid w:val="00165482"/>
    <w:rsid w:val="00171441"/>
    <w:rsid w:val="001806C6"/>
    <w:rsid w:val="00180710"/>
    <w:rsid w:val="00181676"/>
    <w:rsid w:val="001A476E"/>
    <w:rsid w:val="001A5183"/>
    <w:rsid w:val="001C6CDA"/>
    <w:rsid w:val="001D7755"/>
    <w:rsid w:val="001E6174"/>
    <w:rsid w:val="001F46F6"/>
    <w:rsid w:val="002061AC"/>
    <w:rsid w:val="0021314C"/>
    <w:rsid w:val="00213E7B"/>
    <w:rsid w:val="002141F8"/>
    <w:rsid w:val="002222E1"/>
    <w:rsid w:val="002234FA"/>
    <w:rsid w:val="00226843"/>
    <w:rsid w:val="00230D1E"/>
    <w:rsid w:val="00231C1B"/>
    <w:rsid w:val="0024328B"/>
    <w:rsid w:val="002466AB"/>
    <w:rsid w:val="00246D98"/>
    <w:rsid w:val="0024786A"/>
    <w:rsid w:val="00251851"/>
    <w:rsid w:val="00254154"/>
    <w:rsid w:val="002541AD"/>
    <w:rsid w:val="0025501A"/>
    <w:rsid w:val="00262EFA"/>
    <w:rsid w:val="00271ECA"/>
    <w:rsid w:val="0027778B"/>
    <w:rsid w:val="00281B02"/>
    <w:rsid w:val="00292B7C"/>
    <w:rsid w:val="002A0AC2"/>
    <w:rsid w:val="002C16D9"/>
    <w:rsid w:val="002C23D1"/>
    <w:rsid w:val="002C5039"/>
    <w:rsid w:val="002C71A4"/>
    <w:rsid w:val="002D423D"/>
    <w:rsid w:val="002D5EE8"/>
    <w:rsid w:val="002D755E"/>
    <w:rsid w:val="002F6FC8"/>
    <w:rsid w:val="0030456C"/>
    <w:rsid w:val="003050AA"/>
    <w:rsid w:val="003210A8"/>
    <w:rsid w:val="0033137F"/>
    <w:rsid w:val="003329C7"/>
    <w:rsid w:val="003419E9"/>
    <w:rsid w:val="003545AC"/>
    <w:rsid w:val="003551E1"/>
    <w:rsid w:val="00362397"/>
    <w:rsid w:val="00365C93"/>
    <w:rsid w:val="00372BB5"/>
    <w:rsid w:val="00374609"/>
    <w:rsid w:val="00380636"/>
    <w:rsid w:val="003955FE"/>
    <w:rsid w:val="00395C1F"/>
    <w:rsid w:val="00395EE6"/>
    <w:rsid w:val="003A0A86"/>
    <w:rsid w:val="003A262D"/>
    <w:rsid w:val="003A50E5"/>
    <w:rsid w:val="003B187E"/>
    <w:rsid w:val="003B341E"/>
    <w:rsid w:val="003B5B44"/>
    <w:rsid w:val="003B6438"/>
    <w:rsid w:val="003C15A5"/>
    <w:rsid w:val="003C53EB"/>
    <w:rsid w:val="003C60F7"/>
    <w:rsid w:val="003D4D87"/>
    <w:rsid w:val="003F7DFB"/>
    <w:rsid w:val="004050DC"/>
    <w:rsid w:val="004113A1"/>
    <w:rsid w:val="00422FC2"/>
    <w:rsid w:val="004258BF"/>
    <w:rsid w:val="004271F9"/>
    <w:rsid w:val="004429DA"/>
    <w:rsid w:val="00445158"/>
    <w:rsid w:val="004512C3"/>
    <w:rsid w:val="00452EE2"/>
    <w:rsid w:val="004600FA"/>
    <w:rsid w:val="00464888"/>
    <w:rsid w:val="004714C9"/>
    <w:rsid w:val="00480FAD"/>
    <w:rsid w:val="0048769B"/>
    <w:rsid w:val="004A6BB1"/>
    <w:rsid w:val="004A796F"/>
    <w:rsid w:val="004C6BAA"/>
    <w:rsid w:val="004D15C4"/>
    <w:rsid w:val="004F05ED"/>
    <w:rsid w:val="00502E08"/>
    <w:rsid w:val="005076F0"/>
    <w:rsid w:val="00515D95"/>
    <w:rsid w:val="00517B8B"/>
    <w:rsid w:val="00524EC7"/>
    <w:rsid w:val="005374E6"/>
    <w:rsid w:val="00544649"/>
    <w:rsid w:val="00545FAE"/>
    <w:rsid w:val="00554414"/>
    <w:rsid w:val="00557642"/>
    <w:rsid w:val="00560599"/>
    <w:rsid w:val="00561A2C"/>
    <w:rsid w:val="005711F7"/>
    <w:rsid w:val="00577543"/>
    <w:rsid w:val="005A4D05"/>
    <w:rsid w:val="005B2CD1"/>
    <w:rsid w:val="005E0795"/>
    <w:rsid w:val="005E6612"/>
    <w:rsid w:val="005E760C"/>
    <w:rsid w:val="005F3603"/>
    <w:rsid w:val="0060356D"/>
    <w:rsid w:val="006126B9"/>
    <w:rsid w:val="006231BD"/>
    <w:rsid w:val="00627EDC"/>
    <w:rsid w:val="00647C3A"/>
    <w:rsid w:val="00660F51"/>
    <w:rsid w:val="00660F76"/>
    <w:rsid w:val="006769F0"/>
    <w:rsid w:val="00677A30"/>
    <w:rsid w:val="0068134D"/>
    <w:rsid w:val="006867D8"/>
    <w:rsid w:val="00695CD1"/>
    <w:rsid w:val="006C0E64"/>
    <w:rsid w:val="006C4D8D"/>
    <w:rsid w:val="006C78E7"/>
    <w:rsid w:val="006D1440"/>
    <w:rsid w:val="006D4B28"/>
    <w:rsid w:val="006D50C6"/>
    <w:rsid w:val="006E3732"/>
    <w:rsid w:val="006F64DF"/>
    <w:rsid w:val="00700D4D"/>
    <w:rsid w:val="007023A2"/>
    <w:rsid w:val="007079B0"/>
    <w:rsid w:val="00710C22"/>
    <w:rsid w:val="00713365"/>
    <w:rsid w:val="00724932"/>
    <w:rsid w:val="00726E5C"/>
    <w:rsid w:val="00730E0E"/>
    <w:rsid w:val="007553AC"/>
    <w:rsid w:val="00761734"/>
    <w:rsid w:val="00763022"/>
    <w:rsid w:val="00763784"/>
    <w:rsid w:val="007807FB"/>
    <w:rsid w:val="007840DF"/>
    <w:rsid w:val="00786907"/>
    <w:rsid w:val="00793DB6"/>
    <w:rsid w:val="007B32ED"/>
    <w:rsid w:val="007B5D31"/>
    <w:rsid w:val="007C0505"/>
    <w:rsid w:val="007C27DD"/>
    <w:rsid w:val="007C3222"/>
    <w:rsid w:val="007E0A66"/>
    <w:rsid w:val="007E0FC7"/>
    <w:rsid w:val="007F0083"/>
    <w:rsid w:val="007F6D8B"/>
    <w:rsid w:val="007F737F"/>
    <w:rsid w:val="008122A4"/>
    <w:rsid w:val="00813DD1"/>
    <w:rsid w:val="00814BD7"/>
    <w:rsid w:val="00830561"/>
    <w:rsid w:val="00855DE7"/>
    <w:rsid w:val="0086027F"/>
    <w:rsid w:val="0086235C"/>
    <w:rsid w:val="00864AD4"/>
    <w:rsid w:val="00875B13"/>
    <w:rsid w:val="0089153F"/>
    <w:rsid w:val="008938B2"/>
    <w:rsid w:val="008A28B5"/>
    <w:rsid w:val="008A724D"/>
    <w:rsid w:val="008B290A"/>
    <w:rsid w:val="008B7496"/>
    <w:rsid w:val="008C5BB7"/>
    <w:rsid w:val="008D18E8"/>
    <w:rsid w:val="008D1BCF"/>
    <w:rsid w:val="008D29E5"/>
    <w:rsid w:val="008D57B9"/>
    <w:rsid w:val="008E169C"/>
    <w:rsid w:val="008E5AC1"/>
    <w:rsid w:val="008F4E48"/>
    <w:rsid w:val="008F52A7"/>
    <w:rsid w:val="00902AB1"/>
    <w:rsid w:val="009150EC"/>
    <w:rsid w:val="00917803"/>
    <w:rsid w:val="00924729"/>
    <w:rsid w:val="00950E94"/>
    <w:rsid w:val="00952F0F"/>
    <w:rsid w:val="0095690B"/>
    <w:rsid w:val="0096255E"/>
    <w:rsid w:val="00966E71"/>
    <w:rsid w:val="00977878"/>
    <w:rsid w:val="009809A0"/>
    <w:rsid w:val="00982CF7"/>
    <w:rsid w:val="0098361A"/>
    <w:rsid w:val="009A3AC7"/>
    <w:rsid w:val="009A3DCA"/>
    <w:rsid w:val="009A5DF6"/>
    <w:rsid w:val="009B45BF"/>
    <w:rsid w:val="009C3B3B"/>
    <w:rsid w:val="009F2C23"/>
    <w:rsid w:val="00A01735"/>
    <w:rsid w:val="00A020A8"/>
    <w:rsid w:val="00A04F65"/>
    <w:rsid w:val="00A077DD"/>
    <w:rsid w:val="00A13C8C"/>
    <w:rsid w:val="00A27909"/>
    <w:rsid w:val="00A31378"/>
    <w:rsid w:val="00A31B01"/>
    <w:rsid w:val="00A405BB"/>
    <w:rsid w:val="00A41D23"/>
    <w:rsid w:val="00A50746"/>
    <w:rsid w:val="00A50F8D"/>
    <w:rsid w:val="00A57756"/>
    <w:rsid w:val="00A75E0C"/>
    <w:rsid w:val="00A84BEE"/>
    <w:rsid w:val="00A93D95"/>
    <w:rsid w:val="00A96934"/>
    <w:rsid w:val="00AA6C8C"/>
    <w:rsid w:val="00AC7DE3"/>
    <w:rsid w:val="00AE230E"/>
    <w:rsid w:val="00AE3D33"/>
    <w:rsid w:val="00AF536B"/>
    <w:rsid w:val="00AF648C"/>
    <w:rsid w:val="00AF6D71"/>
    <w:rsid w:val="00B00F61"/>
    <w:rsid w:val="00B03030"/>
    <w:rsid w:val="00B07DD4"/>
    <w:rsid w:val="00B1415B"/>
    <w:rsid w:val="00B14D8F"/>
    <w:rsid w:val="00B209FC"/>
    <w:rsid w:val="00B252F0"/>
    <w:rsid w:val="00B254E4"/>
    <w:rsid w:val="00B334C0"/>
    <w:rsid w:val="00B33D97"/>
    <w:rsid w:val="00B6029A"/>
    <w:rsid w:val="00B6431B"/>
    <w:rsid w:val="00B65D5C"/>
    <w:rsid w:val="00B715A0"/>
    <w:rsid w:val="00B730E2"/>
    <w:rsid w:val="00B824D6"/>
    <w:rsid w:val="00B864AD"/>
    <w:rsid w:val="00B87CA1"/>
    <w:rsid w:val="00B905A5"/>
    <w:rsid w:val="00B91C7E"/>
    <w:rsid w:val="00B97621"/>
    <w:rsid w:val="00BA20F3"/>
    <w:rsid w:val="00BA7BC6"/>
    <w:rsid w:val="00BC73FC"/>
    <w:rsid w:val="00BD1226"/>
    <w:rsid w:val="00BD151D"/>
    <w:rsid w:val="00BD2369"/>
    <w:rsid w:val="00BD3068"/>
    <w:rsid w:val="00BD6187"/>
    <w:rsid w:val="00BE1855"/>
    <w:rsid w:val="00BE3B2E"/>
    <w:rsid w:val="00C107EE"/>
    <w:rsid w:val="00C22DD2"/>
    <w:rsid w:val="00C24C53"/>
    <w:rsid w:val="00C30390"/>
    <w:rsid w:val="00C345D3"/>
    <w:rsid w:val="00C3543B"/>
    <w:rsid w:val="00C3662B"/>
    <w:rsid w:val="00C37713"/>
    <w:rsid w:val="00C42AB0"/>
    <w:rsid w:val="00C42C0B"/>
    <w:rsid w:val="00C43902"/>
    <w:rsid w:val="00C43CC7"/>
    <w:rsid w:val="00C4790C"/>
    <w:rsid w:val="00C57607"/>
    <w:rsid w:val="00C63F91"/>
    <w:rsid w:val="00C6483A"/>
    <w:rsid w:val="00C916FE"/>
    <w:rsid w:val="00CA452E"/>
    <w:rsid w:val="00CB150A"/>
    <w:rsid w:val="00CB50E2"/>
    <w:rsid w:val="00CC3477"/>
    <w:rsid w:val="00CD3C4E"/>
    <w:rsid w:val="00CE1435"/>
    <w:rsid w:val="00CE6105"/>
    <w:rsid w:val="00CF0355"/>
    <w:rsid w:val="00D006D3"/>
    <w:rsid w:val="00D02D23"/>
    <w:rsid w:val="00D05B4A"/>
    <w:rsid w:val="00D1031F"/>
    <w:rsid w:val="00D12306"/>
    <w:rsid w:val="00D15E96"/>
    <w:rsid w:val="00D2545A"/>
    <w:rsid w:val="00D27B4A"/>
    <w:rsid w:val="00D33ACE"/>
    <w:rsid w:val="00D3444F"/>
    <w:rsid w:val="00D35615"/>
    <w:rsid w:val="00D42EC8"/>
    <w:rsid w:val="00D44FC3"/>
    <w:rsid w:val="00D63C04"/>
    <w:rsid w:val="00D655D1"/>
    <w:rsid w:val="00D949A3"/>
    <w:rsid w:val="00D97141"/>
    <w:rsid w:val="00DB629F"/>
    <w:rsid w:val="00DC65EE"/>
    <w:rsid w:val="00DC6AB5"/>
    <w:rsid w:val="00DF1E40"/>
    <w:rsid w:val="00DF2415"/>
    <w:rsid w:val="00E10FE9"/>
    <w:rsid w:val="00E12AFA"/>
    <w:rsid w:val="00E14925"/>
    <w:rsid w:val="00E236C0"/>
    <w:rsid w:val="00E26A54"/>
    <w:rsid w:val="00E301C7"/>
    <w:rsid w:val="00E4076D"/>
    <w:rsid w:val="00E4421A"/>
    <w:rsid w:val="00E55CF5"/>
    <w:rsid w:val="00E62DA6"/>
    <w:rsid w:val="00E810A5"/>
    <w:rsid w:val="00E95D2E"/>
    <w:rsid w:val="00E97637"/>
    <w:rsid w:val="00EA0F05"/>
    <w:rsid w:val="00EA18B4"/>
    <w:rsid w:val="00EC745A"/>
    <w:rsid w:val="00ED19DF"/>
    <w:rsid w:val="00ED3C25"/>
    <w:rsid w:val="00ED4EB2"/>
    <w:rsid w:val="00EE298F"/>
    <w:rsid w:val="00EE46F7"/>
    <w:rsid w:val="00EF1947"/>
    <w:rsid w:val="00EF26C7"/>
    <w:rsid w:val="00EF3E9E"/>
    <w:rsid w:val="00EF477D"/>
    <w:rsid w:val="00F10327"/>
    <w:rsid w:val="00F141CC"/>
    <w:rsid w:val="00F16DF7"/>
    <w:rsid w:val="00F20667"/>
    <w:rsid w:val="00F22016"/>
    <w:rsid w:val="00F234EA"/>
    <w:rsid w:val="00F57C7D"/>
    <w:rsid w:val="00F609AE"/>
    <w:rsid w:val="00F62465"/>
    <w:rsid w:val="00F812D4"/>
    <w:rsid w:val="00F81F69"/>
    <w:rsid w:val="00F84CC7"/>
    <w:rsid w:val="00F95332"/>
    <w:rsid w:val="00F9655C"/>
    <w:rsid w:val="00F96FF6"/>
    <w:rsid w:val="00FB4F9F"/>
    <w:rsid w:val="00FC18A3"/>
    <w:rsid w:val="00FC1B7C"/>
    <w:rsid w:val="00FC3435"/>
    <w:rsid w:val="00FC7C8D"/>
    <w:rsid w:val="00FC7CCB"/>
    <w:rsid w:val="00FD2A64"/>
    <w:rsid w:val="00FD2D50"/>
    <w:rsid w:val="00FD3DF3"/>
    <w:rsid w:val="00FE52AB"/>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lang w:val="en-GB"/>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DF1E40"/>
    <w:pPr>
      <w:ind w:left="72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2DB45217-4861-4BA6-BCE0-E11DAECA8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7dea4f39-2ef2-4492-b26c-fbaeae19b347"/>
    <ds:schemaRef ds:uri="64211953-cb0a-4a02-b1d5-47de0f0a68d5"/>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Rushton</dc:creator>
  <cp:keywords/>
  <dc:description/>
  <cp:lastModifiedBy>Jessica Hough</cp:lastModifiedBy>
  <cp:revision>4</cp:revision>
  <cp:lastPrinted>2025-12-05T09:21:00Z</cp:lastPrinted>
  <dcterms:created xsi:type="dcterms:W3CDTF">2026-05-15T09:12:00Z</dcterms:created>
  <dcterms:modified xsi:type="dcterms:W3CDTF">2026-05-15T09:22:00Z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