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34C79A4B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B79">
              <w:rPr>
                <w:noProof/>
              </w:rPr>
              <w:t>Clerical Officer</w:t>
            </w:r>
          </w:p>
          <w:p w14:paraId="3A2B85FA" w14:textId="62B3963E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2E5B79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1A83C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working arrangements available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65C75FF" w14:textId="65E89D47" w:rsidR="00772501" w:rsidRDefault="00772501" w:rsidP="00772501">
            <w:pPr>
              <w:rPr>
                <w:rFonts w:asciiTheme="majorHAnsi" w:hAnsiTheme="majorHAnsi" w:cs="Arial"/>
              </w:rPr>
            </w:pPr>
            <w:r w:rsidRPr="00600DC4">
              <w:rPr>
                <w:rFonts w:asciiTheme="majorHAnsi" w:hAnsiTheme="majorHAnsi"/>
              </w:rPr>
              <w:t xml:space="preserve">The </w:t>
            </w:r>
            <w:r w:rsidR="00144132">
              <w:rPr>
                <w:rFonts w:asciiTheme="majorHAnsi" w:hAnsiTheme="majorHAnsi"/>
              </w:rPr>
              <w:t>Records Management Unit (</w:t>
            </w:r>
            <w:r w:rsidRPr="00600DC4">
              <w:rPr>
                <w:rFonts w:asciiTheme="majorHAnsi" w:hAnsiTheme="majorHAnsi"/>
              </w:rPr>
              <w:t>RMU</w:t>
            </w:r>
            <w:r w:rsidR="00144132">
              <w:rPr>
                <w:rFonts w:asciiTheme="majorHAnsi" w:hAnsiTheme="majorHAnsi"/>
              </w:rPr>
              <w:t>)</w:t>
            </w:r>
            <w:r w:rsidRPr="00600DC4">
              <w:rPr>
                <w:rFonts w:asciiTheme="majorHAnsi" w:hAnsiTheme="majorHAnsi"/>
              </w:rPr>
              <w:t xml:space="preserve"> was set up in 2014 and is located on </w:t>
            </w:r>
            <w:proofErr w:type="spellStart"/>
            <w:r w:rsidRPr="00600DC4">
              <w:rPr>
                <w:rFonts w:asciiTheme="majorHAnsi" w:hAnsiTheme="majorHAnsi"/>
              </w:rPr>
              <w:t>Picow</w:t>
            </w:r>
            <w:proofErr w:type="spellEnd"/>
            <w:r w:rsidRPr="00600DC4">
              <w:rPr>
                <w:rFonts w:asciiTheme="majorHAnsi" w:hAnsiTheme="majorHAnsi"/>
              </w:rPr>
              <w:t xml:space="preserve"> Farm Road, Runcorn, and shares the site with the Open Spaces Services Division. It consists of an office within the main RMU warehouse building, and several other archive store buildings. </w:t>
            </w:r>
            <w:r w:rsidRPr="00600DC4">
              <w:rPr>
                <w:rFonts w:asciiTheme="majorHAnsi" w:hAnsiTheme="majorHAnsi" w:cs="Arial"/>
              </w:rPr>
              <w:t xml:space="preserve"> </w:t>
            </w:r>
          </w:p>
          <w:p w14:paraId="15D69EF4" w14:textId="77777777" w:rsidR="00024710" w:rsidRPr="00600DC4" w:rsidRDefault="00024710" w:rsidP="00772501">
            <w:pPr>
              <w:rPr>
                <w:rFonts w:asciiTheme="majorHAnsi" w:hAnsiTheme="majorHAnsi"/>
              </w:rPr>
            </w:pPr>
          </w:p>
          <w:p w14:paraId="3427A7A8" w14:textId="77777777" w:rsidR="00772501" w:rsidRPr="00600DC4" w:rsidRDefault="00772501" w:rsidP="00772501">
            <w:pPr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>Key functions of the RMU are to:</w:t>
            </w:r>
          </w:p>
          <w:p w14:paraId="7057A0B6" w14:textId="77777777" w:rsidR="00772501" w:rsidRPr="00600DC4" w:rsidRDefault="00772501" w:rsidP="00772501">
            <w:pPr>
              <w:ind w:left="540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> </w:t>
            </w:r>
          </w:p>
          <w:p w14:paraId="6CBD474C" w14:textId="77777777" w:rsidR="00772501" w:rsidRPr="00600DC4" w:rsidRDefault="00772501" w:rsidP="00772501">
            <w:pPr>
              <w:numPr>
                <w:ilvl w:val="0"/>
                <w:numId w:val="24"/>
              </w:numPr>
              <w:ind w:left="540"/>
              <w:textAlignment w:val="center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 xml:space="preserve">Manage the Authority’s records in a secure, legally compliant and economically efficient way. </w:t>
            </w:r>
          </w:p>
          <w:p w14:paraId="34651F14" w14:textId="77777777" w:rsidR="00772501" w:rsidRPr="00600DC4" w:rsidRDefault="00772501" w:rsidP="00772501">
            <w:pPr>
              <w:numPr>
                <w:ilvl w:val="0"/>
                <w:numId w:val="24"/>
              </w:numPr>
              <w:ind w:left="540"/>
              <w:textAlignment w:val="center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 xml:space="preserve">Support the Authority’s Property Management Strategy by freeing up office space to allow greater </w:t>
            </w:r>
            <w:proofErr w:type="spellStart"/>
            <w:r w:rsidRPr="00600DC4">
              <w:rPr>
                <w:rFonts w:asciiTheme="majorHAnsi" w:hAnsiTheme="majorHAnsi"/>
              </w:rPr>
              <w:t>utilisation</w:t>
            </w:r>
            <w:proofErr w:type="spellEnd"/>
            <w:r w:rsidRPr="00600DC4">
              <w:rPr>
                <w:rFonts w:asciiTheme="majorHAnsi" w:hAnsiTheme="majorHAnsi"/>
              </w:rPr>
              <w:t xml:space="preserve"> of existing space and the opportunity to rent out offices to external companies for income generation.</w:t>
            </w:r>
          </w:p>
          <w:p w14:paraId="3445E105" w14:textId="77777777" w:rsidR="00772501" w:rsidRDefault="00772501" w:rsidP="00772501">
            <w:pPr>
              <w:numPr>
                <w:ilvl w:val="0"/>
                <w:numId w:val="24"/>
              </w:numPr>
              <w:ind w:left="540"/>
              <w:textAlignment w:val="center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lastRenderedPageBreak/>
              <w:t xml:space="preserve">Encourage business change throughout all council departments by promoting the move away from paper to electronic records creation, conversion, and storage.  </w:t>
            </w:r>
          </w:p>
          <w:p w14:paraId="4802FDE1" w14:textId="77777777" w:rsidR="00024710" w:rsidRDefault="00024710" w:rsidP="00024710">
            <w:pPr>
              <w:textAlignment w:val="center"/>
              <w:rPr>
                <w:rFonts w:asciiTheme="majorHAnsi" w:hAnsiTheme="majorHAnsi"/>
              </w:rPr>
            </w:pPr>
          </w:p>
          <w:p w14:paraId="65901EA0" w14:textId="77777777" w:rsidR="00024710" w:rsidRPr="00600DC4" w:rsidRDefault="00024710" w:rsidP="00024710">
            <w:pPr>
              <w:textAlignment w:val="center"/>
              <w:rPr>
                <w:rFonts w:asciiTheme="majorHAnsi" w:hAnsiTheme="majorHAnsi"/>
              </w:rPr>
            </w:pPr>
          </w:p>
          <w:p w14:paraId="0DA1BB62" w14:textId="72C88ADC" w:rsidR="001962F7" w:rsidRDefault="00A17C06" w:rsidP="00772501">
            <w:pPr>
              <w:spacing w:line="276" w:lineRule="auto"/>
            </w:pPr>
            <w:r>
              <w:t>In this role you will be responsible for:</w:t>
            </w:r>
          </w:p>
          <w:p w14:paraId="683BFBC9" w14:textId="77777777" w:rsidR="00A17C06" w:rsidRDefault="00A17C06" w:rsidP="00A17C06">
            <w:pPr>
              <w:rPr>
                <w:rFonts w:cstheme="minorHAnsi"/>
              </w:rPr>
            </w:pPr>
          </w:p>
          <w:p w14:paraId="5DE874E3" w14:textId="77777777" w:rsidR="00317AF4" w:rsidRPr="00317AF4" w:rsidRDefault="00A17C06" w:rsidP="00317AF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</w:pP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Maintaining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manual and computerised filing systems to enable up to date and accurate information to be retained and retrieved</w:t>
            </w:r>
          </w:p>
          <w:p w14:paraId="6726AB80" w14:textId="77777777" w:rsidR="00317AF4" w:rsidRPr="00C2636D" w:rsidRDefault="00A17C06" w:rsidP="00317AF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</w:pP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R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espond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to telephone/email enquiries and tak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messages as appropriate</w:t>
            </w:r>
          </w:p>
          <w:p w14:paraId="45AD8821" w14:textId="2BB1F42C" w:rsidR="00A17C06" w:rsidRPr="00C2636D" w:rsidRDefault="00A17C06" w:rsidP="00317AF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</w:pP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Order</w:t>
            </w:r>
            <w:r w:rsidR="00AE7EBA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, receiv</w:t>
            </w:r>
            <w:r w:rsidR="00AE7EBA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and issu</w:t>
            </w:r>
            <w:r w:rsidR="00AE7EBA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stationery, IT equipment and services as requested and maintain</w:t>
            </w:r>
            <w:r w:rsidR="00D6775F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appropriate records</w:t>
            </w:r>
          </w:p>
          <w:p w14:paraId="27A07C8B" w14:textId="77777777" w:rsidR="00A17C06" w:rsidRDefault="00A17C06" w:rsidP="00772501">
            <w:pPr>
              <w:spacing w:line="276" w:lineRule="auto"/>
            </w:pP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7C4F9757" w:rsidR="00924729" w:rsidRDefault="00C2636D" w:rsidP="00FE52AB">
            <w:pPr>
              <w:spacing w:line="276" w:lineRule="auto"/>
            </w:pPr>
            <w:r>
              <w:t>You will have experience of the following:</w:t>
            </w:r>
            <w:r>
              <w:br/>
            </w:r>
          </w:p>
          <w:p w14:paraId="410D2B5D" w14:textId="4EF73240" w:rsidR="004D745F" w:rsidRPr="004D745F" w:rsidRDefault="00C2636D" w:rsidP="004D745F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Using</w:t>
            </w:r>
            <w:r w:rsidR="004D745F" w:rsidRPr="004D745F">
              <w:rPr>
                <w:lang w:val="en-GB"/>
              </w:rPr>
              <w:t xml:space="preserve"> electronic and manual filing systems for information storage and retrieval</w:t>
            </w:r>
          </w:p>
          <w:p w14:paraId="72B71769" w14:textId="58447972" w:rsidR="00540974" w:rsidRDefault="00540974" w:rsidP="005409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540974">
              <w:rPr>
                <w:lang w:val="en-GB"/>
              </w:rPr>
              <w:t>General clerical experience</w:t>
            </w:r>
            <w:r>
              <w:rPr>
                <w:lang w:val="en-GB"/>
              </w:rPr>
              <w:t xml:space="preserve"> and the ability to type</w:t>
            </w:r>
          </w:p>
          <w:p w14:paraId="12846414" w14:textId="1C3720AD" w:rsidR="00144FE5" w:rsidRPr="009A0057" w:rsidRDefault="008C2C69" w:rsidP="005409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t>U</w:t>
            </w:r>
            <w:r w:rsidR="00144FE5" w:rsidRPr="00144FE5">
              <w:t>sing and inputting data into databases</w:t>
            </w:r>
          </w:p>
          <w:p w14:paraId="0150C1E9" w14:textId="6C4A358B" w:rsidR="008A28B5" w:rsidRPr="00C2636D" w:rsidRDefault="009A0057" w:rsidP="00C2636D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9A0057">
              <w:t>Knowledge and use of Microsoft Office products such as Word and Excel</w:t>
            </w:r>
          </w:p>
          <w:p w14:paraId="33DBF184" w14:textId="425443DA" w:rsidR="00814BD7" w:rsidRDefault="00814BD7" w:rsidP="00FE52AB">
            <w:pPr>
              <w:spacing w:line="276" w:lineRule="auto"/>
            </w:pP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3DB9"/>
    <w:multiLevelType w:val="hybridMultilevel"/>
    <w:tmpl w:val="A5146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559"/>
    <w:multiLevelType w:val="multilevel"/>
    <w:tmpl w:val="517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D2E0FCA"/>
    <w:multiLevelType w:val="hybridMultilevel"/>
    <w:tmpl w:val="DDE0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4"/>
  </w:num>
  <w:num w:numId="17" w16cid:durableId="1190876401">
    <w:abstractNumId w:val="10"/>
  </w:num>
  <w:num w:numId="18" w16cid:durableId="1516726489">
    <w:abstractNumId w:val="22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550263531">
    <w:abstractNumId w:val="6"/>
  </w:num>
  <w:num w:numId="25" w16cid:durableId="462433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5331448">
    <w:abstractNumId w:val="2"/>
  </w:num>
  <w:num w:numId="27" w16cid:durableId="180942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4710"/>
    <w:rsid w:val="000275E3"/>
    <w:rsid w:val="00060551"/>
    <w:rsid w:val="000761F2"/>
    <w:rsid w:val="0009529B"/>
    <w:rsid w:val="000E1C8B"/>
    <w:rsid w:val="000F5A32"/>
    <w:rsid w:val="0010498C"/>
    <w:rsid w:val="00117D1E"/>
    <w:rsid w:val="001360EF"/>
    <w:rsid w:val="00141C6D"/>
    <w:rsid w:val="00144132"/>
    <w:rsid w:val="00144FE5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27124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E5B79"/>
    <w:rsid w:val="002F6FC8"/>
    <w:rsid w:val="0030456C"/>
    <w:rsid w:val="00317AF4"/>
    <w:rsid w:val="003329C7"/>
    <w:rsid w:val="003551E1"/>
    <w:rsid w:val="00365C93"/>
    <w:rsid w:val="00372BB5"/>
    <w:rsid w:val="003955FE"/>
    <w:rsid w:val="00395C1F"/>
    <w:rsid w:val="003A0A86"/>
    <w:rsid w:val="003A101D"/>
    <w:rsid w:val="003C60F7"/>
    <w:rsid w:val="003D4D87"/>
    <w:rsid w:val="004600FA"/>
    <w:rsid w:val="00464888"/>
    <w:rsid w:val="00480FAD"/>
    <w:rsid w:val="00490345"/>
    <w:rsid w:val="004A6BB1"/>
    <w:rsid w:val="004A796F"/>
    <w:rsid w:val="004C6BAA"/>
    <w:rsid w:val="004D745F"/>
    <w:rsid w:val="00506E16"/>
    <w:rsid w:val="00515D95"/>
    <w:rsid w:val="00540974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00DC4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2501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2C69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A0057"/>
    <w:rsid w:val="009B45BF"/>
    <w:rsid w:val="009D1074"/>
    <w:rsid w:val="009D4A90"/>
    <w:rsid w:val="00A17C06"/>
    <w:rsid w:val="00A27909"/>
    <w:rsid w:val="00A3304B"/>
    <w:rsid w:val="00A405BB"/>
    <w:rsid w:val="00A50F8D"/>
    <w:rsid w:val="00A57756"/>
    <w:rsid w:val="00AC7DE3"/>
    <w:rsid w:val="00AE230E"/>
    <w:rsid w:val="00AE7EBA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2636D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6775F"/>
    <w:rsid w:val="00DB629F"/>
    <w:rsid w:val="00DC12AF"/>
    <w:rsid w:val="00DC65EE"/>
    <w:rsid w:val="00DC6AB5"/>
    <w:rsid w:val="00E14925"/>
    <w:rsid w:val="00E26A54"/>
    <w:rsid w:val="00E301C7"/>
    <w:rsid w:val="00E4076D"/>
    <w:rsid w:val="00E7121F"/>
    <w:rsid w:val="00E810A5"/>
    <w:rsid w:val="00E87EA7"/>
    <w:rsid w:val="00E95D2E"/>
    <w:rsid w:val="00E97637"/>
    <w:rsid w:val="00EA0FEA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C06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Jenny Jones</cp:lastModifiedBy>
  <cp:revision>18</cp:revision>
  <dcterms:created xsi:type="dcterms:W3CDTF">2025-06-16T12:44:00Z</dcterms:created>
  <dcterms:modified xsi:type="dcterms:W3CDTF">2025-06-16T13:04:00Z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