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CellMar>
          <w:left w:w="0" w:type="dxa"/>
          <w:right w:w="0" w:type="dxa"/>
        </w:tblCellMar>
        <w:tblLook w:val="0600" w:firstRow="0" w:lastRow="0" w:firstColumn="0" w:lastColumn="0" w:noHBand="1" w:noVBand="1"/>
      </w:tblPr>
      <w:tblGrid>
        <w:gridCol w:w="6390"/>
        <w:gridCol w:w="3675"/>
      </w:tblGrid>
      <w:tr w:rsidR="00372BB5" w14:paraId="4737160A" w14:textId="77777777" w:rsidTr="00F2500C">
        <w:trPr>
          <w:trHeight w:val="1098"/>
        </w:trPr>
        <w:tc>
          <w:tcPr>
            <w:tcW w:w="6390" w:type="dxa"/>
            <w:tcBorders>
              <w:bottom w:val="single" w:sz="24" w:space="0" w:color="1BB6FF" w:themeColor="accent1" w:themeTint="99"/>
            </w:tcBorders>
          </w:tcPr>
          <w:p w14:paraId="6594133D" w14:textId="4C6E1C61"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975D6">
              <w:rPr>
                <w:b/>
                <w:bCs/>
                <w:sz w:val="40"/>
                <w:szCs w:val="40"/>
              </w:rPr>
              <w:t>educational psychologist</w:t>
            </w:r>
          </w:p>
          <w:p w14:paraId="3A2B85FA" w14:textId="1FDE2DFD" w:rsidR="007C3222" w:rsidRPr="007C3222" w:rsidRDefault="000F5A32" w:rsidP="000F5A32">
            <w:r>
              <w:rPr>
                <w:b/>
                <w:bCs/>
                <w:sz w:val="24"/>
                <w:szCs w:val="24"/>
              </w:rPr>
              <w:t xml:space="preserve">SALARY GRADE: </w:t>
            </w:r>
            <w:r w:rsidR="00C975D6">
              <w:rPr>
                <w:b/>
                <w:bCs/>
                <w:sz w:val="24"/>
                <w:szCs w:val="24"/>
              </w:rPr>
              <w:t xml:space="preserve">SOULBURY </w:t>
            </w:r>
            <w:r w:rsidR="00BD31D5">
              <w:rPr>
                <w:b/>
                <w:bCs/>
                <w:sz w:val="24"/>
                <w:szCs w:val="24"/>
              </w:rPr>
              <w:t>3 - 8</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F2500C">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F2500C">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F0E6BDF" w:rsidR="00C6483A" w:rsidRPr="00C975D6" w:rsidRDefault="00C6483A" w:rsidP="00C6483A">
            <w:pPr>
              <w:numPr>
                <w:ilvl w:val="0"/>
                <w:numId w:val="9"/>
              </w:numPr>
              <w:spacing w:line="276" w:lineRule="auto"/>
            </w:pPr>
            <w:r w:rsidRPr="00C975D6">
              <w:t xml:space="preserve">Flexible / hybrid working arrangements available </w:t>
            </w:r>
          </w:p>
          <w:p w14:paraId="42E1A898" w14:textId="77777777" w:rsidR="00CD2F7A" w:rsidRPr="00C975D6" w:rsidRDefault="00CD2F7A" w:rsidP="00CD2F7A">
            <w:pPr>
              <w:numPr>
                <w:ilvl w:val="0"/>
                <w:numId w:val="9"/>
              </w:numPr>
              <w:rPr>
                <w:rFonts w:eastAsia="Times New Roman"/>
              </w:rPr>
            </w:pPr>
            <w:r w:rsidRPr="00C975D6">
              <w:rPr>
                <w:rFonts w:eastAsia="Times New Roman"/>
              </w:rPr>
              <w:t>Extensive employee benefits platform including discounted shopping, car leasing, gym memberships, wellbeing hub and Employee Assistance Programme.</w:t>
            </w:r>
          </w:p>
          <w:p w14:paraId="33B9F462" w14:textId="774D1FCD" w:rsidR="00C6483A" w:rsidRPr="00C975D6" w:rsidRDefault="00C3543B" w:rsidP="00C6483A">
            <w:pPr>
              <w:numPr>
                <w:ilvl w:val="0"/>
                <w:numId w:val="9"/>
              </w:numPr>
              <w:spacing w:line="276" w:lineRule="auto"/>
            </w:pPr>
            <w:r w:rsidRPr="00C975D6">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F2500C">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F2500C">
        <w:tc>
          <w:tcPr>
            <w:tcW w:w="10065" w:type="dxa"/>
            <w:gridSpan w:val="2"/>
          </w:tcPr>
          <w:p w14:paraId="3A0F77AF" w14:textId="2258A692" w:rsidR="001962F7" w:rsidRDefault="00C975D6" w:rsidP="00BA10FB">
            <w:pPr>
              <w:rPr>
                <w:lang w:val="en-GB"/>
              </w:rPr>
            </w:pPr>
            <w:r>
              <w:t>As an Educational Psychologist, you will be responsible for a</w:t>
            </w:r>
            <w:r w:rsidR="00345C9A" w:rsidRPr="00034211">
              <w:rPr>
                <w:lang w:val="en-GB"/>
              </w:rPr>
              <w:t>appl</w:t>
            </w:r>
            <w:r w:rsidR="00345C9A">
              <w:rPr>
                <w:lang w:val="en-GB"/>
              </w:rPr>
              <w:t>ying</w:t>
            </w:r>
            <w:r w:rsidRPr="00034211">
              <w:rPr>
                <w:lang w:val="en-GB"/>
              </w:rPr>
              <w:t xml:space="preserve"> psychology to promote positive change for children and young people</w:t>
            </w:r>
            <w:r w:rsidR="00345C9A">
              <w:rPr>
                <w:lang w:val="en-GB"/>
              </w:rPr>
              <w:t xml:space="preserve"> </w:t>
            </w:r>
            <w:r w:rsidRPr="00034211">
              <w:rPr>
                <w:lang w:val="en-GB"/>
              </w:rPr>
              <w:t xml:space="preserve">in schools/settings and families through consultation. </w:t>
            </w:r>
            <w:r>
              <w:rPr>
                <w:lang w:val="en-GB"/>
              </w:rPr>
              <w:t>You will p</w:t>
            </w:r>
            <w:r w:rsidRPr="00034211">
              <w:rPr>
                <w:lang w:val="en-GB"/>
              </w:rPr>
              <w:t>romote Inclusion, Educational achievement / attainment, and Social and Emotional development</w:t>
            </w:r>
            <w:r w:rsidR="00345C9A">
              <w:rPr>
                <w:lang w:val="en-GB"/>
              </w:rPr>
              <w:t xml:space="preserve">, </w:t>
            </w:r>
            <w:r w:rsidRPr="00034211">
              <w:rPr>
                <w:lang w:val="en-GB"/>
              </w:rPr>
              <w:t>contribut</w:t>
            </w:r>
            <w:r w:rsidR="00345C9A">
              <w:rPr>
                <w:lang w:val="en-GB"/>
              </w:rPr>
              <w:t>ing</w:t>
            </w:r>
            <w:r>
              <w:rPr>
                <w:lang w:val="en-GB"/>
              </w:rPr>
              <w:t xml:space="preserve"> </w:t>
            </w:r>
            <w:r w:rsidRPr="00034211">
              <w:rPr>
                <w:lang w:val="en-GB"/>
              </w:rPr>
              <w:t>to the social, emotional and mental health of Halton residents, delivering on the Boroughs commitment and strategy.</w:t>
            </w:r>
            <w:r>
              <w:rPr>
                <w:lang w:val="en-GB"/>
              </w:rPr>
              <w:t xml:space="preserve"> </w:t>
            </w:r>
          </w:p>
          <w:p w14:paraId="004A00D5" w14:textId="77777777" w:rsidR="00BA10FB" w:rsidRPr="00BA10FB" w:rsidRDefault="00BA10FB" w:rsidP="00BA10FB">
            <w:pPr>
              <w:rPr>
                <w:lang w:val="en-GB"/>
              </w:rPr>
            </w:pPr>
          </w:p>
          <w:p w14:paraId="7E6F4472" w14:textId="77777777" w:rsidR="001962F7" w:rsidRDefault="001962F7" w:rsidP="001962F7">
            <w:pPr>
              <w:spacing w:line="276" w:lineRule="auto"/>
            </w:pPr>
            <w:r>
              <w:t>More specific responsibilities include:</w:t>
            </w:r>
          </w:p>
          <w:p w14:paraId="0993FE7A" w14:textId="77777777" w:rsidR="00C975D6" w:rsidRDefault="00C975D6" w:rsidP="00C975D6">
            <w:pPr>
              <w:numPr>
                <w:ilvl w:val="0"/>
                <w:numId w:val="9"/>
              </w:numPr>
              <w:spacing w:line="276" w:lineRule="auto"/>
            </w:pPr>
            <w:r>
              <w:lastRenderedPageBreak/>
              <w:t xml:space="preserve">Providing an applied psychology service through consultation which includes assessment, intervention, training and research to improve outcomes for children and young people/adults in the 0-25 age range. </w:t>
            </w:r>
          </w:p>
          <w:p w14:paraId="743161FB" w14:textId="525B44AD" w:rsidR="00C975D6" w:rsidRDefault="00C975D6" w:rsidP="00C975D6">
            <w:pPr>
              <w:numPr>
                <w:ilvl w:val="0"/>
                <w:numId w:val="9"/>
              </w:numPr>
              <w:spacing w:line="276" w:lineRule="auto"/>
            </w:pPr>
            <w:r>
              <w:t>Working closely with schools/colleges, other agencies and providers, focusing on early intervention and support</w:t>
            </w:r>
          </w:p>
          <w:p w14:paraId="2588DB23" w14:textId="07A8B2C8" w:rsidR="00C975D6" w:rsidRDefault="00C975D6" w:rsidP="00C975D6">
            <w:pPr>
              <w:numPr>
                <w:ilvl w:val="0"/>
                <w:numId w:val="9"/>
              </w:numPr>
              <w:spacing w:line="276" w:lineRule="auto"/>
            </w:pPr>
            <w:r>
              <w:t>Developing knowledge, skills and evidence based practice</w:t>
            </w:r>
            <w:r w:rsidR="00BA10FB">
              <w:t xml:space="preserve">, </w:t>
            </w:r>
            <w:r>
              <w:t xml:space="preserve">maintaining the scientist practitioner model through consultative work, building on the therapeutic offer available to schools, families and staff </w:t>
            </w:r>
          </w:p>
          <w:p w14:paraId="0E4B986C" w14:textId="623519B2" w:rsidR="00C975D6" w:rsidRDefault="00C975D6" w:rsidP="00C975D6">
            <w:pPr>
              <w:numPr>
                <w:ilvl w:val="0"/>
                <w:numId w:val="9"/>
              </w:numPr>
              <w:spacing w:line="276" w:lineRule="auto"/>
            </w:pPr>
            <w:r>
              <w:t>Provid</w:t>
            </w:r>
            <w:r w:rsidR="00BA10FB">
              <w:t>ing</w:t>
            </w:r>
            <w:r>
              <w:t xml:space="preserve"> advice, as part of statutory assessments and the Early Help strategy to the Local Authority and parents/carers about the needs of individual</w:t>
            </w:r>
            <w:r w:rsidR="00BA10FB">
              <w:t xml:space="preserve">s, </w:t>
            </w:r>
            <w:r>
              <w:t>contribut</w:t>
            </w:r>
            <w:r w:rsidR="00BA10FB">
              <w:t>ing</w:t>
            </w:r>
            <w:r>
              <w:t xml:space="preserve"> to the procedures for the identification and assessment of special educational needs</w:t>
            </w:r>
          </w:p>
          <w:p w14:paraId="05231E63" w14:textId="21F2B46B" w:rsidR="00C975D6" w:rsidRDefault="00C975D6" w:rsidP="00C975D6">
            <w:pPr>
              <w:numPr>
                <w:ilvl w:val="0"/>
                <w:numId w:val="9"/>
              </w:numPr>
              <w:spacing w:line="276" w:lineRule="auto"/>
            </w:pPr>
            <w:r>
              <w:t>Develop</w:t>
            </w:r>
            <w:r w:rsidR="00BA10FB">
              <w:t>ing</w:t>
            </w:r>
            <w:r>
              <w:t xml:space="preserve"> good working relationships with service users</w:t>
            </w:r>
            <w:r w:rsidR="00BA10FB">
              <w:t>, schools</w:t>
            </w:r>
            <w:r>
              <w:t xml:space="preserve"> and other agencies</w:t>
            </w:r>
            <w:r w:rsidR="00BA10FB">
              <w:t>, providing training as needed</w:t>
            </w:r>
          </w:p>
          <w:p w14:paraId="2F516374" w14:textId="32F33228" w:rsidR="00C975D6" w:rsidRDefault="00C975D6" w:rsidP="00C975D6">
            <w:pPr>
              <w:numPr>
                <w:ilvl w:val="0"/>
                <w:numId w:val="9"/>
              </w:numPr>
              <w:spacing w:line="276" w:lineRule="auto"/>
            </w:pPr>
            <w:r>
              <w:t>Consult</w:t>
            </w:r>
            <w:r w:rsidR="00BA10FB">
              <w:t xml:space="preserve">ing </w:t>
            </w:r>
            <w:r>
              <w:t xml:space="preserve">leaders on whole placement issues, </w:t>
            </w:r>
            <w:r w:rsidR="00BA10FB">
              <w:t>regarding</w:t>
            </w:r>
            <w:r>
              <w:t xml:space="preserve"> identification, psychological assessment and intervention</w:t>
            </w:r>
          </w:p>
          <w:p w14:paraId="6061286A" w14:textId="33A44BB0" w:rsidR="00C975D6" w:rsidRDefault="00BA10FB" w:rsidP="00C975D6">
            <w:pPr>
              <w:numPr>
                <w:ilvl w:val="0"/>
                <w:numId w:val="9"/>
              </w:numPr>
              <w:spacing w:line="276" w:lineRule="auto"/>
            </w:pPr>
            <w:r>
              <w:t xml:space="preserve">Generating </w:t>
            </w:r>
            <w:r w:rsidR="00C975D6">
              <w:t>income as part of a partially traded service</w:t>
            </w:r>
          </w:p>
          <w:p w14:paraId="7845905D" w14:textId="1F174F2A" w:rsidR="00C975D6" w:rsidRDefault="00BA10FB" w:rsidP="00C975D6">
            <w:pPr>
              <w:numPr>
                <w:ilvl w:val="0"/>
                <w:numId w:val="9"/>
              </w:numPr>
              <w:spacing w:line="276" w:lineRule="auto"/>
            </w:pPr>
            <w:r>
              <w:t>Following</w:t>
            </w:r>
            <w:r w:rsidR="00C975D6">
              <w:t xml:space="preserve"> Halton</w:t>
            </w:r>
            <w:r>
              <w:t xml:space="preserve">’s Safeguarding, </w:t>
            </w:r>
            <w:r w:rsidR="00C975D6">
              <w:t>Health and Safety, Equal Opportunities and Anti-discrimination</w:t>
            </w:r>
            <w:r>
              <w:t xml:space="preserve"> policies</w:t>
            </w:r>
          </w:p>
          <w:p w14:paraId="1FC025EA" w14:textId="2B2489D5" w:rsidR="00C975D6" w:rsidRDefault="00C975D6" w:rsidP="00C975D6">
            <w:pPr>
              <w:numPr>
                <w:ilvl w:val="0"/>
                <w:numId w:val="9"/>
              </w:numPr>
              <w:spacing w:line="276" w:lineRule="auto"/>
            </w:pPr>
            <w:r>
              <w:t>Prioritis</w:t>
            </w:r>
            <w:r w:rsidR="00BA10FB">
              <w:t>ing</w:t>
            </w:r>
            <w:r>
              <w:t xml:space="preserve"> the safeguarding of children/young adults </w:t>
            </w:r>
            <w:r w:rsidR="00BA10FB">
              <w:t>through</w:t>
            </w:r>
            <w:r>
              <w:t xml:space="preserve"> training and by following polic</w:t>
            </w:r>
            <w:r w:rsidR="00BA10FB">
              <w:t>ies</w:t>
            </w:r>
            <w:r>
              <w:t xml:space="preserve"> and procedures.</w:t>
            </w:r>
          </w:p>
          <w:p w14:paraId="297B4BAA" w14:textId="64A69FB2" w:rsidR="00C975D6" w:rsidRDefault="00C975D6" w:rsidP="00C975D6">
            <w:pPr>
              <w:numPr>
                <w:ilvl w:val="0"/>
                <w:numId w:val="9"/>
              </w:numPr>
              <w:spacing w:line="276" w:lineRule="auto"/>
            </w:pPr>
            <w:r>
              <w:t>Abid</w:t>
            </w:r>
            <w:r w:rsidR="00BA10FB">
              <w:t xml:space="preserve">ing </w:t>
            </w:r>
            <w:r>
              <w:t xml:space="preserve">by the objectives and targets of the </w:t>
            </w:r>
            <w:r w:rsidR="00BA10FB">
              <w:t xml:space="preserve">HCPC </w:t>
            </w:r>
            <w:r>
              <w:t>and Halto</w:t>
            </w:r>
            <w:r w:rsidR="00BA10FB">
              <w:t>n,</w:t>
            </w:r>
            <w:r>
              <w:t xml:space="preserve"> follow</w:t>
            </w:r>
            <w:r w:rsidR="00BA10FB">
              <w:t>ing</w:t>
            </w:r>
            <w:r>
              <w:t xml:space="preserve"> procedures </w:t>
            </w:r>
            <w:r w:rsidR="00BA10FB">
              <w:t xml:space="preserve">when using </w:t>
            </w:r>
            <w:r>
              <w:t xml:space="preserve">computerised and manual systems and the </w:t>
            </w:r>
            <w:r w:rsidR="00BA10FB">
              <w:t>maintaining</w:t>
            </w:r>
            <w:r>
              <w:t xml:space="preserve"> records.  This includes establishing and maintaining a research based role within professional practice engaging in planned CPD fulfilling HCPC requirements</w:t>
            </w:r>
          </w:p>
          <w:p w14:paraId="7A12816F" w14:textId="7588FCC9" w:rsidR="00C975D6" w:rsidRDefault="00C975D6" w:rsidP="00C975D6">
            <w:pPr>
              <w:numPr>
                <w:ilvl w:val="0"/>
                <w:numId w:val="9"/>
              </w:numPr>
              <w:spacing w:line="276" w:lineRule="auto"/>
            </w:pPr>
            <w:r>
              <w:t>Fulfil</w:t>
            </w:r>
            <w:r w:rsidR="00BA10FB">
              <w:t>ling</w:t>
            </w:r>
            <w:r>
              <w:t xml:space="preserve"> personal requirements in respect of health and safety, emergency evacuation, security, equal opportunities, customer care, work standards and promotion of the Council’s Core Values</w:t>
            </w:r>
          </w:p>
          <w:p w14:paraId="57BBA876" w14:textId="5CF14275" w:rsidR="005E75A5" w:rsidRDefault="00C975D6" w:rsidP="00BA10FB">
            <w:pPr>
              <w:numPr>
                <w:ilvl w:val="0"/>
                <w:numId w:val="9"/>
              </w:numPr>
              <w:spacing w:line="276" w:lineRule="auto"/>
            </w:pPr>
            <w:r>
              <w:t>Undertak</w:t>
            </w:r>
            <w:r w:rsidR="00BA10FB">
              <w:t xml:space="preserve">ing </w:t>
            </w:r>
            <w:r>
              <w:t xml:space="preserve">any other duties and responsibilities </w:t>
            </w:r>
            <w:r w:rsidR="00BA10FB">
              <w:t xml:space="preserve">which </w:t>
            </w:r>
            <w:r>
              <w:t>are commensurate with the grade of the job</w:t>
            </w:r>
          </w:p>
        </w:tc>
      </w:tr>
      <w:tr w:rsidR="00365C93" w14:paraId="052D3F24" w14:textId="77777777" w:rsidTr="00F2500C">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bl>
    <w:p w14:paraId="371203FE" w14:textId="1AD4FBB8" w:rsidR="00F2500C" w:rsidRDefault="00BA10FB" w:rsidP="00345C9A">
      <w:r>
        <w:t>For this role, it is vital that you hold an Honours degree in Psychology (or equivalent qualification conferring graduate basis for registration with the British Psychology Society and HCPC) as well as a Post Graduate professional qualification in educational psychology.</w:t>
      </w:r>
    </w:p>
    <w:tbl>
      <w:tblPr>
        <w:tblW w:w="12467" w:type="dxa"/>
        <w:tblCellMar>
          <w:left w:w="0" w:type="dxa"/>
          <w:right w:w="0" w:type="dxa"/>
        </w:tblCellMar>
        <w:tblLook w:val="0600" w:firstRow="0" w:lastRow="0" w:firstColumn="0" w:lastColumn="0" w:noHBand="1" w:noVBand="1"/>
      </w:tblPr>
      <w:tblGrid>
        <w:gridCol w:w="10065"/>
        <w:gridCol w:w="2245"/>
        <w:gridCol w:w="157"/>
      </w:tblGrid>
      <w:tr w:rsidR="00464888" w14:paraId="17CD1997" w14:textId="77777777" w:rsidTr="002635AA">
        <w:trPr>
          <w:gridAfter w:val="2"/>
          <w:wAfter w:w="2402" w:type="dxa"/>
        </w:trPr>
        <w:tc>
          <w:tcPr>
            <w:tcW w:w="10065" w:type="dxa"/>
          </w:tcPr>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2326004F" w14:textId="14183F2F" w:rsidR="00BA10FB" w:rsidRDefault="00BA10FB" w:rsidP="00BA10FB">
            <w:pPr>
              <w:pStyle w:val="ListParagraph"/>
              <w:numPr>
                <w:ilvl w:val="0"/>
                <w:numId w:val="9"/>
              </w:numPr>
            </w:pPr>
            <w:r>
              <w:t>Evidence of continued professional development relating to the application of psychology</w:t>
            </w:r>
          </w:p>
          <w:p w14:paraId="42F5BC7B" w14:textId="63847D7F" w:rsidR="00BA10FB" w:rsidRDefault="00BA10FB" w:rsidP="00BA10FB">
            <w:pPr>
              <w:pStyle w:val="ListParagraph"/>
              <w:numPr>
                <w:ilvl w:val="0"/>
                <w:numId w:val="9"/>
              </w:numPr>
            </w:pPr>
            <w:r>
              <w:t>Experience of implementing SEND policy and procedures and successful collaboration with other agencies and stakeholders</w:t>
            </w:r>
          </w:p>
          <w:p w14:paraId="684C81F0" w14:textId="14419D64" w:rsidR="00BA10FB" w:rsidRDefault="00BA10FB" w:rsidP="00BA10FB">
            <w:pPr>
              <w:pStyle w:val="ListParagraph"/>
              <w:numPr>
                <w:ilvl w:val="0"/>
                <w:numId w:val="9"/>
              </w:numPr>
            </w:pPr>
            <w:r>
              <w:t>Experience of contributing to the development of inclusive educational provision and a c</w:t>
            </w:r>
            <w:r w:rsidRPr="00BA10FB">
              <w:t>ommitment to developing pupil participation and advocacy</w:t>
            </w:r>
          </w:p>
          <w:p w14:paraId="5A21CA6C" w14:textId="5B0A24DC" w:rsidR="00BA10FB" w:rsidRDefault="00BA10FB" w:rsidP="00BA10FB">
            <w:pPr>
              <w:pStyle w:val="ListParagraph"/>
              <w:numPr>
                <w:ilvl w:val="0"/>
                <w:numId w:val="9"/>
              </w:numPr>
            </w:pPr>
            <w:r>
              <w:t>Experience of consultation as a method of service delivery</w:t>
            </w:r>
            <w:r w:rsidR="00345C9A">
              <w:t>, with an understanding of SEMH and the implications of developing good mental health on learning</w:t>
            </w:r>
          </w:p>
          <w:p w14:paraId="5D5F8333" w14:textId="77777777" w:rsidR="00BA10FB" w:rsidRDefault="00BA10FB" w:rsidP="00BA10FB">
            <w:pPr>
              <w:pStyle w:val="ListParagraph"/>
              <w:numPr>
                <w:ilvl w:val="0"/>
                <w:numId w:val="9"/>
              </w:numPr>
            </w:pPr>
            <w:r>
              <w:t>An understanding and a personal commitment to the vision and values of Halton Borough Council</w:t>
            </w:r>
          </w:p>
          <w:p w14:paraId="0E8AD697" w14:textId="73D072AB" w:rsidR="00BA10FB" w:rsidRDefault="00BA10FB" w:rsidP="00BA10FB">
            <w:pPr>
              <w:pStyle w:val="ListParagraph"/>
              <w:numPr>
                <w:ilvl w:val="0"/>
                <w:numId w:val="9"/>
              </w:numPr>
            </w:pPr>
            <w:r>
              <w:t xml:space="preserve">A commitment to </w:t>
            </w:r>
            <w:r w:rsidR="00345C9A">
              <w:t xml:space="preserve">apply psychology to </w:t>
            </w:r>
            <w:r>
              <w:t>create positive change within a changing professional and local context with a flexible, creative and “can do” attitude</w:t>
            </w:r>
          </w:p>
          <w:p w14:paraId="7F570C42" w14:textId="01723A28" w:rsidR="00BA10FB" w:rsidRDefault="00BA10FB" w:rsidP="00345C9A">
            <w:pPr>
              <w:pStyle w:val="ListParagraph"/>
              <w:numPr>
                <w:ilvl w:val="0"/>
                <w:numId w:val="9"/>
              </w:numPr>
            </w:pPr>
            <w:r>
              <w:t>Ability to maintain focus and work productively within a climate of change</w:t>
            </w:r>
            <w:r w:rsidR="00345C9A">
              <w:t xml:space="preserve">, planning organising and managing personal workload </w:t>
            </w:r>
          </w:p>
          <w:p w14:paraId="497E4307" w14:textId="2C3D9069" w:rsidR="00BA10FB" w:rsidRDefault="00BA10FB" w:rsidP="00345C9A">
            <w:pPr>
              <w:pStyle w:val="ListParagraph"/>
              <w:numPr>
                <w:ilvl w:val="0"/>
                <w:numId w:val="9"/>
              </w:numPr>
            </w:pPr>
            <w:r>
              <w:t>Ability to form and maintain relationships and boundaries with children, young people and vulnerable adults</w:t>
            </w:r>
            <w:r w:rsidR="00345C9A">
              <w:t>, with e</w:t>
            </w:r>
            <w:r>
              <w:t>motional resilience in working with challenging behaviours</w:t>
            </w:r>
          </w:p>
          <w:p w14:paraId="0BDE318C" w14:textId="17B76E7B" w:rsidR="00BA10FB" w:rsidRDefault="00BA10FB" w:rsidP="00BA10FB">
            <w:pPr>
              <w:pStyle w:val="ListParagraph"/>
              <w:numPr>
                <w:ilvl w:val="0"/>
                <w:numId w:val="9"/>
              </w:numPr>
            </w:pPr>
            <w:r>
              <w:t>Excellent IT a</w:t>
            </w:r>
            <w:r w:rsidR="00345C9A">
              <w:t xml:space="preserve">nd oral/written </w:t>
            </w:r>
            <w:r>
              <w:t>communication skills</w:t>
            </w:r>
            <w:r w:rsidR="00345C9A">
              <w:t xml:space="preserve">, </w:t>
            </w:r>
            <w:r>
              <w:t xml:space="preserve">with an ability to relate to and </w:t>
            </w:r>
            <w:r w:rsidR="00345C9A">
              <w:t xml:space="preserve">liaise </w:t>
            </w:r>
            <w:r>
              <w:t>with a</w:t>
            </w:r>
            <w:r w:rsidR="00345C9A">
              <w:t xml:space="preserve"> </w:t>
            </w:r>
            <w:r>
              <w:t>range of people</w:t>
            </w:r>
          </w:p>
          <w:p w14:paraId="1D8C4B75" w14:textId="4DFFCC20" w:rsidR="00345C9A" w:rsidRDefault="00BA10FB" w:rsidP="00345C9A">
            <w:pPr>
              <w:pStyle w:val="ListParagraph"/>
              <w:numPr>
                <w:ilvl w:val="0"/>
                <w:numId w:val="9"/>
              </w:numPr>
            </w:pPr>
            <w:r>
              <w:t xml:space="preserve">An understanding of </w:t>
            </w:r>
            <w:r w:rsidR="00345C9A">
              <w:t xml:space="preserve">multi-disciplinary work, joint planning across services and </w:t>
            </w:r>
            <w:r>
              <w:t>the future challenges</w:t>
            </w:r>
            <w:r w:rsidR="00345C9A">
              <w:t xml:space="preserve"> </w:t>
            </w:r>
            <w:r>
              <w:t>and opportunities for Educational Psychology services</w:t>
            </w:r>
          </w:p>
          <w:p w14:paraId="5E26AE4A" w14:textId="77777777" w:rsidR="00345C9A" w:rsidRDefault="00345C9A" w:rsidP="00345C9A">
            <w:pPr>
              <w:ind w:left="360"/>
            </w:pPr>
          </w:p>
          <w:p w14:paraId="6A36225B" w14:textId="1284AA20" w:rsidR="00EC745A" w:rsidRPr="00EC745A" w:rsidRDefault="00EC745A" w:rsidP="00345C9A">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lastRenderedPageBreak/>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8641" w14:textId="77777777" w:rsidR="007E6726" w:rsidRDefault="007E6726" w:rsidP="00BC73FC">
      <w:r>
        <w:separator/>
      </w:r>
    </w:p>
  </w:endnote>
  <w:endnote w:type="continuationSeparator" w:id="0">
    <w:p w14:paraId="532CBD1C" w14:textId="77777777" w:rsidR="007E6726" w:rsidRDefault="007E6726" w:rsidP="00BC73FC">
      <w:r>
        <w:continuationSeparator/>
      </w:r>
    </w:p>
  </w:endnote>
  <w:endnote w:type="continuationNotice" w:id="1">
    <w:p w14:paraId="50BE651D" w14:textId="77777777" w:rsidR="007E6726" w:rsidRDefault="007E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F620" w14:textId="77777777" w:rsidR="007E6726" w:rsidRDefault="007E6726" w:rsidP="00BC73FC">
      <w:r>
        <w:separator/>
      </w:r>
    </w:p>
  </w:footnote>
  <w:footnote w:type="continuationSeparator" w:id="0">
    <w:p w14:paraId="794F0CF6" w14:textId="77777777" w:rsidR="007E6726" w:rsidRDefault="007E6726" w:rsidP="00BC73FC">
      <w:r>
        <w:continuationSeparator/>
      </w:r>
    </w:p>
  </w:footnote>
  <w:footnote w:type="continuationNotice" w:id="1">
    <w:p w14:paraId="71F79639" w14:textId="77777777" w:rsidR="007E6726" w:rsidRDefault="007E67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F5EBA"/>
    <w:multiLevelType w:val="hybridMultilevel"/>
    <w:tmpl w:val="7DC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926FBC"/>
    <w:multiLevelType w:val="hybridMultilevel"/>
    <w:tmpl w:val="9F9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3"/>
  </w:num>
  <w:num w:numId="8" w16cid:durableId="2094618771">
    <w:abstractNumId w:val="17"/>
  </w:num>
  <w:num w:numId="9" w16cid:durableId="1866013986">
    <w:abstractNumId w:val="18"/>
  </w:num>
  <w:num w:numId="10" w16cid:durableId="948005912">
    <w:abstractNumId w:val="5"/>
  </w:num>
  <w:num w:numId="11" w16cid:durableId="1186291718">
    <w:abstractNumId w:val="1"/>
  </w:num>
  <w:num w:numId="12" w16cid:durableId="2114011035">
    <w:abstractNumId w:val="3"/>
  </w:num>
  <w:num w:numId="13" w16cid:durableId="889268224">
    <w:abstractNumId w:val="19"/>
  </w:num>
  <w:num w:numId="14" w16cid:durableId="1943221786">
    <w:abstractNumId w:val="15"/>
  </w:num>
  <w:num w:numId="15" w16cid:durableId="17393087">
    <w:abstractNumId w:val="11"/>
  </w:num>
  <w:num w:numId="16" w16cid:durableId="79496472">
    <w:abstractNumId w:val="4"/>
  </w:num>
  <w:num w:numId="17" w16cid:durableId="1190876401">
    <w:abstractNumId w:val="9"/>
  </w:num>
  <w:num w:numId="18" w16cid:durableId="1516726489">
    <w:abstractNumId w:val="22"/>
  </w:num>
  <w:num w:numId="19" w16cid:durableId="1519809597">
    <w:abstractNumId w:val="6"/>
  </w:num>
  <w:num w:numId="20" w16cid:durableId="1106654369">
    <w:abstractNumId w:val="7"/>
  </w:num>
  <w:num w:numId="21" w16cid:durableId="855311505">
    <w:abstractNumId w:val="16"/>
  </w:num>
  <w:num w:numId="22" w16cid:durableId="1128014861">
    <w:abstractNumId w:val="21"/>
  </w:num>
  <w:num w:numId="23" w16cid:durableId="444471535">
    <w:abstractNumId w:val="12"/>
  </w:num>
  <w:num w:numId="24" w16cid:durableId="1188442575">
    <w:abstractNumId w:val="2"/>
  </w:num>
  <w:num w:numId="25" w16cid:durableId="17357334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7E74"/>
    <w:rsid w:val="00060551"/>
    <w:rsid w:val="00067EB3"/>
    <w:rsid w:val="000761F2"/>
    <w:rsid w:val="0009529B"/>
    <w:rsid w:val="000A2B04"/>
    <w:rsid w:val="000E1C8B"/>
    <w:rsid w:val="000E6815"/>
    <w:rsid w:val="000F5A32"/>
    <w:rsid w:val="001033DE"/>
    <w:rsid w:val="0010498C"/>
    <w:rsid w:val="0010739F"/>
    <w:rsid w:val="00117D1E"/>
    <w:rsid w:val="001360EF"/>
    <w:rsid w:val="00141C6D"/>
    <w:rsid w:val="001461BB"/>
    <w:rsid w:val="00150158"/>
    <w:rsid w:val="00152014"/>
    <w:rsid w:val="00161D30"/>
    <w:rsid w:val="0016524D"/>
    <w:rsid w:val="001668B6"/>
    <w:rsid w:val="001806C6"/>
    <w:rsid w:val="00180710"/>
    <w:rsid w:val="00181676"/>
    <w:rsid w:val="001962F7"/>
    <w:rsid w:val="001C6CDA"/>
    <w:rsid w:val="001D7755"/>
    <w:rsid w:val="001F46F6"/>
    <w:rsid w:val="00213E7B"/>
    <w:rsid w:val="002141F8"/>
    <w:rsid w:val="00226843"/>
    <w:rsid w:val="0024328B"/>
    <w:rsid w:val="002466AB"/>
    <w:rsid w:val="00246D98"/>
    <w:rsid w:val="002511DA"/>
    <w:rsid w:val="002635AA"/>
    <w:rsid w:val="00281B02"/>
    <w:rsid w:val="002933F2"/>
    <w:rsid w:val="002A0AC2"/>
    <w:rsid w:val="002B796F"/>
    <w:rsid w:val="002C518F"/>
    <w:rsid w:val="002D0F74"/>
    <w:rsid w:val="002D4238"/>
    <w:rsid w:val="002D755E"/>
    <w:rsid w:val="002E13EE"/>
    <w:rsid w:val="002F6FC8"/>
    <w:rsid w:val="0030456C"/>
    <w:rsid w:val="00322ACB"/>
    <w:rsid w:val="003329C7"/>
    <w:rsid w:val="00345C9A"/>
    <w:rsid w:val="003551E1"/>
    <w:rsid w:val="00365C93"/>
    <w:rsid w:val="00367AED"/>
    <w:rsid w:val="00372BB5"/>
    <w:rsid w:val="003955FE"/>
    <w:rsid w:val="00395C1F"/>
    <w:rsid w:val="003A0A86"/>
    <w:rsid w:val="003B2C97"/>
    <w:rsid w:val="003C0D34"/>
    <w:rsid w:val="003C60F7"/>
    <w:rsid w:val="003D4D87"/>
    <w:rsid w:val="004600FA"/>
    <w:rsid w:val="00464888"/>
    <w:rsid w:val="00480FAD"/>
    <w:rsid w:val="00497021"/>
    <w:rsid w:val="004A6BB1"/>
    <w:rsid w:val="004A796F"/>
    <w:rsid w:val="004C6BAA"/>
    <w:rsid w:val="004D31A4"/>
    <w:rsid w:val="00506E16"/>
    <w:rsid w:val="0051188D"/>
    <w:rsid w:val="00515D95"/>
    <w:rsid w:val="0054734D"/>
    <w:rsid w:val="00561A2C"/>
    <w:rsid w:val="00567822"/>
    <w:rsid w:val="00577543"/>
    <w:rsid w:val="00593983"/>
    <w:rsid w:val="005A0882"/>
    <w:rsid w:val="005A4D05"/>
    <w:rsid w:val="005B54B1"/>
    <w:rsid w:val="005C2714"/>
    <w:rsid w:val="005E0795"/>
    <w:rsid w:val="005E6612"/>
    <w:rsid w:val="005E75A5"/>
    <w:rsid w:val="005E760C"/>
    <w:rsid w:val="005F0112"/>
    <w:rsid w:val="005F2592"/>
    <w:rsid w:val="006030FA"/>
    <w:rsid w:val="006126B9"/>
    <w:rsid w:val="00647C3A"/>
    <w:rsid w:val="00673DC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7273A"/>
    <w:rsid w:val="007807FB"/>
    <w:rsid w:val="007840DF"/>
    <w:rsid w:val="00793DB6"/>
    <w:rsid w:val="007B29E5"/>
    <w:rsid w:val="007C27DD"/>
    <w:rsid w:val="007C3222"/>
    <w:rsid w:val="007E6726"/>
    <w:rsid w:val="007F6D8B"/>
    <w:rsid w:val="007F737F"/>
    <w:rsid w:val="008122A4"/>
    <w:rsid w:val="00814BD7"/>
    <w:rsid w:val="00822E7D"/>
    <w:rsid w:val="00830561"/>
    <w:rsid w:val="00882CF4"/>
    <w:rsid w:val="0089153F"/>
    <w:rsid w:val="008A28B5"/>
    <w:rsid w:val="008B79FA"/>
    <w:rsid w:val="008C01E5"/>
    <w:rsid w:val="008C5BB7"/>
    <w:rsid w:val="008D29E5"/>
    <w:rsid w:val="008D57B9"/>
    <w:rsid w:val="008E169C"/>
    <w:rsid w:val="00902AB1"/>
    <w:rsid w:val="00917803"/>
    <w:rsid w:val="009218DD"/>
    <w:rsid w:val="00924729"/>
    <w:rsid w:val="009502EB"/>
    <w:rsid w:val="00966E71"/>
    <w:rsid w:val="00971691"/>
    <w:rsid w:val="00982CF7"/>
    <w:rsid w:val="0098361A"/>
    <w:rsid w:val="00987AF3"/>
    <w:rsid w:val="009B45BF"/>
    <w:rsid w:val="009B58A5"/>
    <w:rsid w:val="009D1074"/>
    <w:rsid w:val="009D2622"/>
    <w:rsid w:val="009D4A90"/>
    <w:rsid w:val="009F3F87"/>
    <w:rsid w:val="00A27909"/>
    <w:rsid w:val="00A3304B"/>
    <w:rsid w:val="00A405BB"/>
    <w:rsid w:val="00A50F8D"/>
    <w:rsid w:val="00A57756"/>
    <w:rsid w:val="00A85785"/>
    <w:rsid w:val="00AC6047"/>
    <w:rsid w:val="00AC7DE3"/>
    <w:rsid w:val="00AE230E"/>
    <w:rsid w:val="00AF536B"/>
    <w:rsid w:val="00B03030"/>
    <w:rsid w:val="00B14D8F"/>
    <w:rsid w:val="00B3401B"/>
    <w:rsid w:val="00B6029A"/>
    <w:rsid w:val="00B6431B"/>
    <w:rsid w:val="00B824D6"/>
    <w:rsid w:val="00B905A5"/>
    <w:rsid w:val="00B91C7E"/>
    <w:rsid w:val="00B94DB1"/>
    <w:rsid w:val="00B97621"/>
    <w:rsid w:val="00BA10FB"/>
    <w:rsid w:val="00BA7BC6"/>
    <w:rsid w:val="00BC73FC"/>
    <w:rsid w:val="00BD151D"/>
    <w:rsid w:val="00BD31D5"/>
    <w:rsid w:val="00BD6187"/>
    <w:rsid w:val="00BE395E"/>
    <w:rsid w:val="00C107EE"/>
    <w:rsid w:val="00C24C53"/>
    <w:rsid w:val="00C3543B"/>
    <w:rsid w:val="00C42AB0"/>
    <w:rsid w:val="00C43902"/>
    <w:rsid w:val="00C43CC7"/>
    <w:rsid w:val="00C4790C"/>
    <w:rsid w:val="00C57607"/>
    <w:rsid w:val="00C6004A"/>
    <w:rsid w:val="00C63F91"/>
    <w:rsid w:val="00C6483A"/>
    <w:rsid w:val="00C916FE"/>
    <w:rsid w:val="00C975D6"/>
    <w:rsid w:val="00CA3014"/>
    <w:rsid w:val="00CC3477"/>
    <w:rsid w:val="00CD08BD"/>
    <w:rsid w:val="00CD2F7A"/>
    <w:rsid w:val="00CD3C4E"/>
    <w:rsid w:val="00CE2666"/>
    <w:rsid w:val="00D01950"/>
    <w:rsid w:val="00D10238"/>
    <w:rsid w:val="00D12306"/>
    <w:rsid w:val="00D15E96"/>
    <w:rsid w:val="00D27B4A"/>
    <w:rsid w:val="00D33ACE"/>
    <w:rsid w:val="00D3444F"/>
    <w:rsid w:val="00D63C04"/>
    <w:rsid w:val="00D655D1"/>
    <w:rsid w:val="00D73EB5"/>
    <w:rsid w:val="00D93A85"/>
    <w:rsid w:val="00DA7A39"/>
    <w:rsid w:val="00DB629F"/>
    <w:rsid w:val="00DC12AF"/>
    <w:rsid w:val="00DC65EE"/>
    <w:rsid w:val="00DC6AB5"/>
    <w:rsid w:val="00E14925"/>
    <w:rsid w:val="00E26A54"/>
    <w:rsid w:val="00E301C7"/>
    <w:rsid w:val="00E36977"/>
    <w:rsid w:val="00E4076D"/>
    <w:rsid w:val="00E700D7"/>
    <w:rsid w:val="00E7121F"/>
    <w:rsid w:val="00E77FC6"/>
    <w:rsid w:val="00E810A5"/>
    <w:rsid w:val="00E87EA7"/>
    <w:rsid w:val="00E95D2E"/>
    <w:rsid w:val="00E97070"/>
    <w:rsid w:val="00E97637"/>
    <w:rsid w:val="00EC745A"/>
    <w:rsid w:val="00ED22FE"/>
    <w:rsid w:val="00ED2AD6"/>
    <w:rsid w:val="00ED4EB2"/>
    <w:rsid w:val="00EF1947"/>
    <w:rsid w:val="00EF3E9E"/>
    <w:rsid w:val="00EF477D"/>
    <w:rsid w:val="00F000FC"/>
    <w:rsid w:val="00F01564"/>
    <w:rsid w:val="00F10327"/>
    <w:rsid w:val="00F20667"/>
    <w:rsid w:val="00F249FA"/>
    <w:rsid w:val="00F24D99"/>
    <w:rsid w:val="00F2500C"/>
    <w:rsid w:val="00F366A1"/>
    <w:rsid w:val="00F51960"/>
    <w:rsid w:val="00F5593E"/>
    <w:rsid w:val="00F57C7D"/>
    <w:rsid w:val="00F62465"/>
    <w:rsid w:val="00F81F69"/>
    <w:rsid w:val="00F84CC7"/>
    <w:rsid w:val="00F96FF6"/>
    <w:rsid w:val="00FC1B7C"/>
    <w:rsid w:val="00FC3780"/>
    <w:rsid w:val="00FC7C8D"/>
    <w:rsid w:val="00FD3D35"/>
    <w:rsid w:val="00FD3DF3"/>
    <w:rsid w:val="00FE52AB"/>
    <w:rsid w:val="00FF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7CE65556-4C1B-4689-A3BB-8D933878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Jessica Hough</cp:lastModifiedBy>
  <cp:revision>3</cp:revision>
  <dcterms:created xsi:type="dcterms:W3CDTF">2026-05-12T09:45:00Z</dcterms:created>
  <dcterms:modified xsi:type="dcterms:W3CDTF">2026-05-12T10:49:00Z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