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092905A2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C72AA40" w14:textId="4B87706F" w:rsidR="00372BB5" w:rsidRPr="00B4033E" w:rsidRDefault="009F5054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HSCP </w:t>
            </w:r>
            <w:r w:rsidR="00B4033E" w:rsidRPr="00B4033E">
              <w:rPr>
                <w:b/>
                <w:bCs/>
                <w:sz w:val="40"/>
                <w:szCs w:val="40"/>
              </w:rPr>
              <w:t>Quality Assurance Office</w:t>
            </w:r>
            <w:r w:rsidR="00F84CC7" w:rsidRPr="00B4033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583" w:rsidRPr="00B4033E">
              <w:rPr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15FA224F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3802E7FF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628AFD6C" w14:textId="77777777" w:rsidR="00372BB5" w:rsidRDefault="00372BB5" w:rsidP="00365C93">
            <w:pPr>
              <w:jc w:val="right"/>
            </w:pPr>
          </w:p>
        </w:tc>
      </w:tr>
      <w:tr w:rsidR="00372BB5" w14:paraId="2AA99A42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5C9D2D3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5AF531B3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478F92E5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6A032884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16363B2E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3989046A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587B32E5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095C539C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36004809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43D85C3C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5E5730E7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51FBF638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4A219630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058B9319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5696C986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71BDF04B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1EB86C8D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429281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59F34C59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65C4DE4D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4C91265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14:paraId="08EF6988" w14:textId="167285EC" w:rsidR="00C6483A" w:rsidRPr="00203159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C6483A">
              <w:t>Car leasing schemes</w:t>
            </w:r>
            <w:r w:rsidR="00C3543B">
              <w:t xml:space="preserve"> </w:t>
            </w:r>
          </w:p>
          <w:p w14:paraId="5E4CEB72" w14:textId="77777777" w:rsidR="00203159" w:rsidRPr="00203159" w:rsidRDefault="00203159" w:rsidP="00203159">
            <w:pPr>
              <w:spacing w:line="276" w:lineRule="auto"/>
              <w:ind w:left="720"/>
              <w:rPr>
                <w:i/>
                <w:iCs/>
              </w:rPr>
            </w:pPr>
          </w:p>
          <w:p w14:paraId="63B04A11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D1648D6" w14:textId="77777777" w:rsidR="00365C93" w:rsidRDefault="00365C93" w:rsidP="00395C1F">
            <w:pPr>
              <w:spacing w:line="276" w:lineRule="auto"/>
            </w:pPr>
          </w:p>
        </w:tc>
      </w:tr>
      <w:tr w:rsidR="00365C93" w14:paraId="5F7615C7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B8098E4" w14:textId="77777777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06861A1F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A3344A6" w14:textId="2DD6C882" w:rsidR="003F76F9" w:rsidRPr="00A7143A" w:rsidRDefault="003F76F9" w:rsidP="003F76F9">
            <w:pPr>
              <w:tabs>
                <w:tab w:val="left" w:pos="720"/>
              </w:tabs>
              <w:spacing w:line="276" w:lineRule="auto"/>
              <w:jc w:val="both"/>
              <w:rPr>
                <w:rFonts w:cs="Arial"/>
              </w:rPr>
            </w:pPr>
            <w:r w:rsidRPr="00A7143A">
              <w:rPr>
                <w:rFonts w:cs="Arial"/>
              </w:rPr>
              <w:t xml:space="preserve">The role will support the development of the quality of the partnerships audit activity as a key driver to improving multi-agency practice and outcomes for children, young people and their families. </w:t>
            </w:r>
          </w:p>
          <w:p w14:paraId="3BDD4D07" w14:textId="77777777" w:rsidR="003F76F9" w:rsidRPr="00A7143A" w:rsidRDefault="003F76F9" w:rsidP="003F76F9">
            <w:pPr>
              <w:tabs>
                <w:tab w:val="left" w:pos="720"/>
              </w:tabs>
              <w:spacing w:line="276" w:lineRule="auto"/>
              <w:jc w:val="both"/>
              <w:rPr>
                <w:rFonts w:cs="Arial"/>
              </w:rPr>
            </w:pPr>
          </w:p>
          <w:p w14:paraId="33E0CC47" w14:textId="5ED1A1DE" w:rsidR="003F76F9" w:rsidRPr="00A7143A" w:rsidRDefault="003F76F9" w:rsidP="003F76F9">
            <w:pPr>
              <w:tabs>
                <w:tab w:val="left" w:pos="720"/>
              </w:tabs>
              <w:spacing w:line="276" w:lineRule="auto"/>
              <w:jc w:val="both"/>
              <w:rPr>
                <w:rFonts w:cs="Arial"/>
              </w:rPr>
            </w:pPr>
            <w:r w:rsidRPr="00A7143A">
              <w:rPr>
                <w:rFonts w:cs="Arial"/>
              </w:rPr>
              <w:t xml:space="preserve">The post holder will support the delivery of the Quality Assurance Framework, supporting  independent and accountable evaluation of practice and outcomes against legal frameworks, practice standards and good practice. </w:t>
            </w:r>
          </w:p>
          <w:p w14:paraId="52098540" w14:textId="77777777" w:rsidR="003F76F9" w:rsidRPr="00A7143A" w:rsidRDefault="003F76F9" w:rsidP="003F76F9">
            <w:pPr>
              <w:tabs>
                <w:tab w:val="left" w:pos="720"/>
              </w:tabs>
              <w:spacing w:line="276" w:lineRule="auto"/>
              <w:jc w:val="both"/>
              <w:rPr>
                <w:rFonts w:cs="Arial"/>
              </w:rPr>
            </w:pPr>
          </w:p>
          <w:p w14:paraId="5249D0B3" w14:textId="679D3856" w:rsidR="003F76F9" w:rsidRPr="00867239" w:rsidRDefault="003F76F9" w:rsidP="003F76F9">
            <w:pPr>
              <w:tabs>
                <w:tab w:val="left" w:pos="720"/>
              </w:tabs>
              <w:spacing w:line="276" w:lineRule="auto"/>
              <w:jc w:val="both"/>
              <w:rPr>
                <w:rFonts w:cs="Arial"/>
              </w:rPr>
            </w:pPr>
            <w:r w:rsidRPr="00A7143A">
              <w:rPr>
                <w:rFonts w:cs="Arial"/>
              </w:rPr>
              <w:lastRenderedPageBreak/>
              <w:t xml:space="preserve">These objectives will be delivered through audit activity, writing reports on findings and presenting these to varying audiences of </w:t>
            </w:r>
            <w:r w:rsidRPr="00867239">
              <w:rPr>
                <w:rFonts w:cs="Arial"/>
              </w:rPr>
              <w:t>managers and practitioner</w:t>
            </w:r>
            <w:r w:rsidR="005B68AD" w:rsidRPr="00867239">
              <w:rPr>
                <w:rFonts w:cs="Arial"/>
              </w:rPr>
              <w:t xml:space="preserve">s </w:t>
            </w:r>
            <w:r w:rsidRPr="00867239">
              <w:rPr>
                <w:rFonts w:cs="Arial"/>
              </w:rPr>
              <w:t>and scrutinising the impact of improvement activity, effectively closing the loop on audit.  Strong analytical and communicational skills are essential.</w:t>
            </w:r>
          </w:p>
          <w:p w14:paraId="681C69B4" w14:textId="77777777" w:rsidR="00B73065" w:rsidRPr="00867239" w:rsidRDefault="00B73065" w:rsidP="00B73065">
            <w:pPr>
              <w:tabs>
                <w:tab w:val="left" w:pos="720"/>
              </w:tabs>
              <w:spacing w:line="276" w:lineRule="auto"/>
              <w:jc w:val="both"/>
              <w:rPr>
                <w:rFonts w:cs="Arial"/>
              </w:rPr>
            </w:pPr>
          </w:p>
          <w:p w14:paraId="251002CC" w14:textId="77777777" w:rsidR="007807FB" w:rsidRPr="00867239" w:rsidRDefault="007807FB" w:rsidP="003329C7">
            <w:pPr>
              <w:spacing w:line="276" w:lineRule="auto"/>
            </w:pPr>
          </w:p>
          <w:p w14:paraId="72480EDE" w14:textId="77777777" w:rsidR="007807FB" w:rsidRPr="00371F17" w:rsidRDefault="007807FB" w:rsidP="003329C7">
            <w:pPr>
              <w:spacing w:line="276" w:lineRule="auto"/>
              <w:rPr>
                <w:b/>
                <w:bCs/>
              </w:rPr>
            </w:pPr>
            <w:r w:rsidRPr="00371F17">
              <w:rPr>
                <w:b/>
                <w:bCs/>
              </w:rPr>
              <w:t>More specific responsibilities include</w:t>
            </w:r>
            <w:r w:rsidR="002A0AC2" w:rsidRPr="00371F17">
              <w:rPr>
                <w:b/>
                <w:bCs/>
              </w:rPr>
              <w:t>:</w:t>
            </w:r>
          </w:p>
          <w:p w14:paraId="0316ED5A" w14:textId="7A91B116" w:rsidR="003329C7" w:rsidRPr="00867239" w:rsidRDefault="007B0D49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</w:rPr>
              <w:t xml:space="preserve">Support multi agency partners to undertake qualitative audits of practice and quality assurance activity to identify and highlight good practice, scrutinise and challenge practitioners and managers on quality of </w:t>
            </w:r>
            <w:r w:rsidRPr="00867239">
              <w:rPr>
                <w:rFonts w:cs="Arial"/>
                <w:szCs w:val="20"/>
              </w:rPr>
              <w:t>practice, identifying and escalating concerns.</w:t>
            </w:r>
          </w:p>
          <w:p w14:paraId="0CA1997C" w14:textId="77777777" w:rsidR="007B0D49" w:rsidRPr="00867239" w:rsidRDefault="002B5DBB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Lead and participate in thematic audits in relation to issues as they arise, emerge or are identified.</w:t>
            </w:r>
          </w:p>
          <w:p w14:paraId="25EBA1F4" w14:textId="77777777" w:rsidR="002B5DBB" w:rsidRPr="00867239" w:rsidRDefault="00A1751D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Speak to children, young people and their parents/carers regarding their experience of Halton Children’s Services to inform audit and quality assurance.</w:t>
            </w:r>
          </w:p>
          <w:p w14:paraId="064D803D" w14:textId="77777777" w:rsidR="00A1751D" w:rsidRPr="00867239" w:rsidRDefault="007E7BA3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 xml:space="preserve">Undertake post-audit discussions with practitioners and managers to review and reflect, identifying areas of good practice and areas for improvement and professional development.  </w:t>
            </w:r>
          </w:p>
          <w:p w14:paraId="34E314BA" w14:textId="36654B3B" w:rsidR="00760249" w:rsidRPr="00867239" w:rsidRDefault="00885830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Analyse audit findings, producing insightful reports to support managers and practitioners in understanding the quality of practice across the partnership</w:t>
            </w:r>
          </w:p>
          <w:p w14:paraId="2046214F" w14:textId="27C36E4B" w:rsidR="00760249" w:rsidRPr="00867239" w:rsidRDefault="001D09DE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Produce and deliver presentations and summaries of findings to support individuals, teams, and services in continuous improvement</w:t>
            </w:r>
            <w:r w:rsidR="00403230">
              <w:rPr>
                <w:rFonts w:cs="Arial"/>
                <w:szCs w:val="20"/>
              </w:rPr>
              <w:t>.</w:t>
            </w:r>
            <w:r w:rsidRPr="00867239">
              <w:rPr>
                <w:rFonts w:cs="Arial"/>
                <w:szCs w:val="20"/>
              </w:rPr>
              <w:t xml:space="preserve"> Utilise information systems to create, collate and analyse audits..</w:t>
            </w:r>
          </w:p>
          <w:p w14:paraId="1AFC41F1" w14:textId="77777777" w:rsidR="00015ED2" w:rsidRPr="00867239" w:rsidRDefault="00015ED2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Develop positive working relationships with colleagues at all levels of the partnership to embed learning and improve quality of practice</w:t>
            </w:r>
          </w:p>
          <w:p w14:paraId="1B408A1F" w14:textId="77777777" w:rsidR="00AB4F7E" w:rsidRPr="00867239" w:rsidRDefault="00AB4F7E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Liaise with designated managers and comply with service requirements regarding supervision, undertaking continuous professional development and attendance at formal training.</w:t>
            </w:r>
          </w:p>
          <w:p w14:paraId="135D95D0" w14:textId="77777777" w:rsidR="002D7329" w:rsidRPr="00C016CB" w:rsidRDefault="002D7329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Be aware and responsive to the differing needs of all groups within the community.</w:t>
            </w:r>
          </w:p>
          <w:p w14:paraId="5CD99487" w14:textId="737FABE1" w:rsidR="00C016CB" w:rsidRPr="00867239" w:rsidRDefault="00D17A5D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Manage a quality assurance (QA) budget to ensure that QA activities </w:t>
            </w:r>
            <w:r w:rsidR="00326489">
              <w:rPr>
                <w:rFonts w:cs="Arial"/>
                <w:szCs w:val="20"/>
              </w:rPr>
              <w:t>align with project goals and deliver value without exceeding allocated funds.</w:t>
            </w:r>
          </w:p>
          <w:p w14:paraId="1B0430FF" w14:textId="77777777" w:rsidR="00867239" w:rsidRPr="00867239" w:rsidRDefault="00867239" w:rsidP="009F4F0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867239">
              <w:rPr>
                <w:rFonts w:cs="Arial"/>
                <w:szCs w:val="20"/>
              </w:rPr>
              <w:t>Undertake any other duties and responsibilities as may be assigned from time to time, which are commensurate with the grade of the job.</w:t>
            </w:r>
          </w:p>
          <w:p w14:paraId="1E74EBC8" w14:textId="08491000" w:rsidR="00867239" w:rsidRDefault="00867239" w:rsidP="00867239">
            <w:pPr>
              <w:spacing w:line="276" w:lineRule="auto"/>
              <w:ind w:left="720"/>
            </w:pPr>
          </w:p>
        </w:tc>
      </w:tr>
      <w:tr w:rsidR="00365C93" w14:paraId="0AAC1EB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61A4CF28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72C4AE16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0822ABD2" w14:textId="6138C338" w:rsidR="00924729" w:rsidRDefault="00981562" w:rsidP="00FE52AB">
            <w:pPr>
              <w:spacing w:line="276" w:lineRule="auto"/>
            </w:pPr>
            <w:r w:rsidRPr="00D83DDA">
              <w:t xml:space="preserve">You will </w:t>
            </w:r>
            <w:r w:rsidR="00D83DDA" w:rsidRPr="00D83DDA">
              <w:t>have</w:t>
            </w:r>
            <w:r w:rsidR="00D83DDA">
              <w:t xml:space="preserve"> a professional qualification in respect of Policing, Education, Children’s Social Care or </w:t>
            </w:r>
            <w:r w:rsidR="00371F17">
              <w:t xml:space="preserve">the </w:t>
            </w:r>
            <w:r w:rsidR="00D83DDA">
              <w:t>Health</w:t>
            </w:r>
            <w:r w:rsidR="00371F17">
              <w:t xml:space="preserve"> sector.</w:t>
            </w:r>
            <w:r>
              <w:t xml:space="preserve"> </w:t>
            </w:r>
          </w:p>
          <w:p w14:paraId="35265541" w14:textId="77777777" w:rsidR="008A28B5" w:rsidRDefault="008A28B5" w:rsidP="00FE52AB">
            <w:pPr>
              <w:spacing w:line="276" w:lineRule="auto"/>
            </w:pPr>
          </w:p>
          <w:p w14:paraId="1AA180C6" w14:textId="77777777" w:rsidR="008A28B5" w:rsidRPr="00371F17" w:rsidRDefault="00603315" w:rsidP="00FE52AB">
            <w:pPr>
              <w:spacing w:line="276" w:lineRule="auto"/>
              <w:rPr>
                <w:b/>
                <w:bCs/>
              </w:rPr>
            </w:pPr>
            <w:r w:rsidRPr="00371F17">
              <w:rPr>
                <w:b/>
                <w:bCs/>
              </w:rPr>
              <w:t>Y</w:t>
            </w:r>
            <w:r w:rsidR="00213E7B" w:rsidRPr="00371F17">
              <w:rPr>
                <w:b/>
                <w:bCs/>
              </w:rPr>
              <w:t>ou</w:t>
            </w:r>
            <w:r w:rsidR="008A28B5" w:rsidRPr="00371F17">
              <w:rPr>
                <w:b/>
                <w:bCs/>
              </w:rPr>
              <w:t xml:space="preserve"> will have:</w:t>
            </w:r>
          </w:p>
          <w:p w14:paraId="40D5DD75" w14:textId="77777777" w:rsidR="008A28B5" w:rsidRPr="00C723CE" w:rsidRDefault="00486250" w:rsidP="0079260B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t>Experience in the delivery of direct support to children, young people and families</w:t>
            </w:r>
            <w:r w:rsidR="0079260B" w:rsidRPr="00C723CE">
              <w:t xml:space="preserve"> with an understanding of child development including ages and stage related development from 0 to 19 and the impact of adverse childhood experiences.</w:t>
            </w:r>
          </w:p>
          <w:p w14:paraId="679DADD0" w14:textId="77777777" w:rsidR="00C50DD8" w:rsidRPr="00C723CE" w:rsidRDefault="008F7B49" w:rsidP="00C50DD8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rPr>
                <w:rFonts w:cs="Arial"/>
              </w:rPr>
              <w:t>Experience of Ofsted grading and evaluation criteria as well as a clear view about what “Good” looks like.</w:t>
            </w:r>
          </w:p>
          <w:p w14:paraId="2721FC60" w14:textId="77777777" w:rsidR="00C50DD8" w:rsidRPr="00C723CE" w:rsidRDefault="00C50DD8" w:rsidP="00C50DD8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rPr>
                <w:rFonts w:cs="Arial"/>
              </w:rPr>
              <w:t>Experience of quality assurance and undertaking audits</w:t>
            </w:r>
            <w:r w:rsidR="00B7344C" w:rsidRPr="00C723CE">
              <w:rPr>
                <w:rFonts w:cs="Arial"/>
              </w:rPr>
              <w:t>, as well as identifying good practice and challenging the practice of practitioners and managers.</w:t>
            </w:r>
          </w:p>
          <w:p w14:paraId="154163DF" w14:textId="77777777" w:rsidR="00C723CE" w:rsidRPr="00C723CE" w:rsidRDefault="00826025" w:rsidP="00C723CE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rPr>
                <w:rFonts w:cs="Arial"/>
              </w:rPr>
              <w:t>Knowledge of key legislation and policy frameworks surrounding early help and children's services and their application.</w:t>
            </w:r>
          </w:p>
          <w:p w14:paraId="795106EB" w14:textId="0F88586F" w:rsidR="00921024" w:rsidRPr="00C723CE" w:rsidRDefault="00C723CE" w:rsidP="00C723CE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rPr>
                <w:rFonts w:cs="Arial"/>
              </w:rPr>
              <w:t>Ability to lead multiagency thematic auditing activity.</w:t>
            </w:r>
          </w:p>
          <w:p w14:paraId="507CAB02" w14:textId="77777777" w:rsidR="00460AEE" w:rsidRPr="00C723CE" w:rsidRDefault="00460AEE" w:rsidP="00460AEE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t>A strengths based, systemic approach with the ability to critique practice and records, recognizing and  celebrating good practice and challenging poor practice.</w:t>
            </w:r>
          </w:p>
          <w:p w14:paraId="47A4F927" w14:textId="77777777" w:rsidR="006E53AD" w:rsidRPr="00C723CE" w:rsidRDefault="00D22138" w:rsidP="006E53AD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lastRenderedPageBreak/>
              <w:t>Commitment to teamwork and be a good team player.</w:t>
            </w:r>
          </w:p>
          <w:p w14:paraId="765F8965" w14:textId="39CF3FFB" w:rsidR="00E74676" w:rsidRPr="00C723CE" w:rsidRDefault="006E53AD" w:rsidP="005E7B18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rPr>
                <w:rFonts w:cs="Arial"/>
              </w:rPr>
              <w:t>Receptive to new ideas and approaches.</w:t>
            </w:r>
          </w:p>
          <w:p w14:paraId="2EB15523" w14:textId="77777777" w:rsidR="00C70E8B" w:rsidRPr="00C723CE" w:rsidRDefault="00DF6E96" w:rsidP="00C70E8B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rPr>
                <w:rFonts w:cs="Arial"/>
              </w:rPr>
              <w:t>Ability to network effectively and build effective and efficient working relationships that secure better outcomes for children and young people.</w:t>
            </w:r>
          </w:p>
          <w:p w14:paraId="313435F4" w14:textId="6ABA32EB" w:rsidR="006E53AD" w:rsidRPr="005E7B18" w:rsidRDefault="00C70E8B" w:rsidP="005E7B18">
            <w:pPr>
              <w:numPr>
                <w:ilvl w:val="0"/>
                <w:numId w:val="9"/>
              </w:numPr>
              <w:spacing w:line="276" w:lineRule="auto"/>
            </w:pPr>
            <w:r w:rsidRPr="00C723CE">
              <w:rPr>
                <w:rFonts w:cs="Arial"/>
              </w:rPr>
              <w:t>Ability to work under pressure within tight timescales and manage competing priorities.</w:t>
            </w:r>
          </w:p>
          <w:p w14:paraId="3726D563" w14:textId="77777777" w:rsidR="00EC745A" w:rsidRDefault="00EC745A" w:rsidP="00FE52AB">
            <w:pPr>
              <w:spacing w:line="276" w:lineRule="auto"/>
            </w:pPr>
          </w:p>
          <w:p w14:paraId="67D508EF" w14:textId="77777777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37D19335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7E576618" w14:textId="77777777" w:rsidR="00464888" w:rsidRDefault="00464888" w:rsidP="00E301C7"/>
        </w:tc>
        <w:tc>
          <w:tcPr>
            <w:tcW w:w="2960" w:type="dxa"/>
          </w:tcPr>
          <w:p w14:paraId="79F49A54" w14:textId="77777777" w:rsidR="00464888" w:rsidRDefault="00464888"/>
        </w:tc>
      </w:tr>
      <w:tr w:rsidR="00464888" w14:paraId="2BBEEDA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7E093A7B" w14:textId="77777777" w:rsidR="00464888" w:rsidRDefault="00464888" w:rsidP="00E301C7"/>
        </w:tc>
        <w:tc>
          <w:tcPr>
            <w:tcW w:w="3117" w:type="dxa"/>
            <w:gridSpan w:val="2"/>
          </w:tcPr>
          <w:p w14:paraId="431585E8" w14:textId="77777777" w:rsidR="00464888" w:rsidRDefault="00464888"/>
        </w:tc>
      </w:tr>
      <w:tr w:rsidR="00464888" w14:paraId="0AE8E967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56AECC85" w14:textId="77777777" w:rsidR="00464888" w:rsidRDefault="00464888" w:rsidP="0009529B">
            <w:pPr>
              <w:jc w:val="right"/>
            </w:pPr>
          </w:p>
        </w:tc>
      </w:tr>
    </w:tbl>
    <w:p w14:paraId="244EDB27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208E" w14:textId="77777777" w:rsidR="00F2226C" w:rsidRDefault="00F2226C" w:rsidP="00BC73FC">
      <w:r>
        <w:separator/>
      </w:r>
    </w:p>
  </w:endnote>
  <w:endnote w:type="continuationSeparator" w:id="0">
    <w:p w14:paraId="0DFE941B" w14:textId="77777777" w:rsidR="00F2226C" w:rsidRDefault="00F2226C" w:rsidP="00BC73FC">
      <w:r>
        <w:continuationSeparator/>
      </w:r>
    </w:p>
  </w:endnote>
  <w:endnote w:type="continuationNotice" w:id="1">
    <w:p w14:paraId="4BE66B14" w14:textId="77777777" w:rsidR="00F2226C" w:rsidRDefault="00F22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964E" w14:textId="77777777" w:rsidR="00F2226C" w:rsidRDefault="00F2226C" w:rsidP="00BC73FC">
      <w:r>
        <w:separator/>
      </w:r>
    </w:p>
  </w:footnote>
  <w:footnote w:type="continuationSeparator" w:id="0">
    <w:p w14:paraId="05347814" w14:textId="77777777" w:rsidR="00F2226C" w:rsidRDefault="00F2226C" w:rsidP="00BC73FC">
      <w:r>
        <w:continuationSeparator/>
      </w:r>
    </w:p>
  </w:footnote>
  <w:footnote w:type="continuationNotice" w:id="1">
    <w:p w14:paraId="21B0EE91" w14:textId="77777777" w:rsidR="00F2226C" w:rsidRDefault="00F222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2E54"/>
    <w:rsid w:val="00015ED2"/>
    <w:rsid w:val="000275E3"/>
    <w:rsid w:val="00060551"/>
    <w:rsid w:val="000761F2"/>
    <w:rsid w:val="00090B9E"/>
    <w:rsid w:val="0009529B"/>
    <w:rsid w:val="000E1C8B"/>
    <w:rsid w:val="00123D29"/>
    <w:rsid w:val="00127638"/>
    <w:rsid w:val="00141C6D"/>
    <w:rsid w:val="001806C6"/>
    <w:rsid w:val="00180710"/>
    <w:rsid w:val="00181676"/>
    <w:rsid w:val="001D09DE"/>
    <w:rsid w:val="001D7755"/>
    <w:rsid w:val="001E2F63"/>
    <w:rsid w:val="001F46F6"/>
    <w:rsid w:val="00203159"/>
    <w:rsid w:val="002123A5"/>
    <w:rsid w:val="0021259D"/>
    <w:rsid w:val="00213E7B"/>
    <w:rsid w:val="002141F8"/>
    <w:rsid w:val="00226843"/>
    <w:rsid w:val="002466AB"/>
    <w:rsid w:val="00246D98"/>
    <w:rsid w:val="00281B02"/>
    <w:rsid w:val="002A0AC2"/>
    <w:rsid w:val="002B5DBB"/>
    <w:rsid w:val="002D7329"/>
    <w:rsid w:val="002F6FC8"/>
    <w:rsid w:val="0030456C"/>
    <w:rsid w:val="003140A5"/>
    <w:rsid w:val="00326489"/>
    <w:rsid w:val="003329C7"/>
    <w:rsid w:val="00333246"/>
    <w:rsid w:val="003519DA"/>
    <w:rsid w:val="003551E1"/>
    <w:rsid w:val="00365C93"/>
    <w:rsid w:val="00371F17"/>
    <w:rsid w:val="00372BB5"/>
    <w:rsid w:val="003955FE"/>
    <w:rsid w:val="00395C1F"/>
    <w:rsid w:val="003A0A86"/>
    <w:rsid w:val="003A3583"/>
    <w:rsid w:val="003C563D"/>
    <w:rsid w:val="003C60F7"/>
    <w:rsid w:val="003D4D87"/>
    <w:rsid w:val="003F76F9"/>
    <w:rsid w:val="00403230"/>
    <w:rsid w:val="00460AEE"/>
    <w:rsid w:val="00464888"/>
    <w:rsid w:val="00480FAD"/>
    <w:rsid w:val="00486250"/>
    <w:rsid w:val="004A6BB1"/>
    <w:rsid w:val="004A796F"/>
    <w:rsid w:val="004C6BAA"/>
    <w:rsid w:val="004E40B0"/>
    <w:rsid w:val="00515D95"/>
    <w:rsid w:val="005507BE"/>
    <w:rsid w:val="00560438"/>
    <w:rsid w:val="00561A2C"/>
    <w:rsid w:val="0057584B"/>
    <w:rsid w:val="00577543"/>
    <w:rsid w:val="005A4D05"/>
    <w:rsid w:val="005B68AD"/>
    <w:rsid w:val="005E6612"/>
    <w:rsid w:val="005E760C"/>
    <w:rsid w:val="005E7B18"/>
    <w:rsid w:val="00603315"/>
    <w:rsid w:val="006126B9"/>
    <w:rsid w:val="00647C3A"/>
    <w:rsid w:val="00677A30"/>
    <w:rsid w:val="00691348"/>
    <w:rsid w:val="00695CD1"/>
    <w:rsid w:val="006C78E7"/>
    <w:rsid w:val="006D50C6"/>
    <w:rsid w:val="006E53AD"/>
    <w:rsid w:val="006F64DF"/>
    <w:rsid w:val="00702CE2"/>
    <w:rsid w:val="007079B0"/>
    <w:rsid w:val="00710C22"/>
    <w:rsid w:val="00713365"/>
    <w:rsid w:val="00724932"/>
    <w:rsid w:val="00734C6A"/>
    <w:rsid w:val="00760249"/>
    <w:rsid w:val="00763784"/>
    <w:rsid w:val="007807FB"/>
    <w:rsid w:val="007840DF"/>
    <w:rsid w:val="0079260B"/>
    <w:rsid w:val="00793DB6"/>
    <w:rsid w:val="007B0D49"/>
    <w:rsid w:val="007C27DD"/>
    <w:rsid w:val="007E7BA3"/>
    <w:rsid w:val="007F6D8B"/>
    <w:rsid w:val="007F737F"/>
    <w:rsid w:val="00801664"/>
    <w:rsid w:val="008122A4"/>
    <w:rsid w:val="00814BD7"/>
    <w:rsid w:val="00826025"/>
    <w:rsid w:val="00867239"/>
    <w:rsid w:val="00873CA4"/>
    <w:rsid w:val="00885830"/>
    <w:rsid w:val="008A0B94"/>
    <w:rsid w:val="008A28B5"/>
    <w:rsid w:val="008C5BB7"/>
    <w:rsid w:val="008D57B9"/>
    <w:rsid w:val="008F7B49"/>
    <w:rsid w:val="00917803"/>
    <w:rsid w:val="00921024"/>
    <w:rsid w:val="00924729"/>
    <w:rsid w:val="00934DDF"/>
    <w:rsid w:val="00966E71"/>
    <w:rsid w:val="00977466"/>
    <w:rsid w:val="00981562"/>
    <w:rsid w:val="00982CF7"/>
    <w:rsid w:val="009B45BF"/>
    <w:rsid w:val="009F4F02"/>
    <w:rsid w:val="009F5054"/>
    <w:rsid w:val="00A129D0"/>
    <w:rsid w:val="00A1751D"/>
    <w:rsid w:val="00A27909"/>
    <w:rsid w:val="00A405BB"/>
    <w:rsid w:val="00A7143A"/>
    <w:rsid w:val="00AB4F7E"/>
    <w:rsid w:val="00AC7DE3"/>
    <w:rsid w:val="00AD22E5"/>
    <w:rsid w:val="00AE230E"/>
    <w:rsid w:val="00B14D8F"/>
    <w:rsid w:val="00B317A7"/>
    <w:rsid w:val="00B36DCD"/>
    <w:rsid w:val="00B4033E"/>
    <w:rsid w:val="00B6029A"/>
    <w:rsid w:val="00B6431B"/>
    <w:rsid w:val="00B73065"/>
    <w:rsid w:val="00B7344C"/>
    <w:rsid w:val="00B824D6"/>
    <w:rsid w:val="00B905A5"/>
    <w:rsid w:val="00B97621"/>
    <w:rsid w:val="00BA3434"/>
    <w:rsid w:val="00BA7BC6"/>
    <w:rsid w:val="00BB3E61"/>
    <w:rsid w:val="00BB7DF6"/>
    <w:rsid w:val="00BC73FC"/>
    <w:rsid w:val="00C016CB"/>
    <w:rsid w:val="00C107EE"/>
    <w:rsid w:val="00C24C53"/>
    <w:rsid w:val="00C31867"/>
    <w:rsid w:val="00C3543B"/>
    <w:rsid w:val="00C42AB0"/>
    <w:rsid w:val="00C43902"/>
    <w:rsid w:val="00C4790C"/>
    <w:rsid w:val="00C50DD8"/>
    <w:rsid w:val="00C57607"/>
    <w:rsid w:val="00C6483A"/>
    <w:rsid w:val="00C70E8B"/>
    <w:rsid w:val="00C723CE"/>
    <w:rsid w:val="00C76114"/>
    <w:rsid w:val="00C916FE"/>
    <w:rsid w:val="00CD3C4E"/>
    <w:rsid w:val="00CE5613"/>
    <w:rsid w:val="00D12306"/>
    <w:rsid w:val="00D15E96"/>
    <w:rsid w:val="00D17A5D"/>
    <w:rsid w:val="00D22138"/>
    <w:rsid w:val="00D3444F"/>
    <w:rsid w:val="00D367AF"/>
    <w:rsid w:val="00D63C04"/>
    <w:rsid w:val="00D655D1"/>
    <w:rsid w:val="00D83DDA"/>
    <w:rsid w:val="00D8519E"/>
    <w:rsid w:val="00DB629F"/>
    <w:rsid w:val="00DC65EE"/>
    <w:rsid w:val="00DC6AB5"/>
    <w:rsid w:val="00DD62C6"/>
    <w:rsid w:val="00DF431F"/>
    <w:rsid w:val="00DF6E96"/>
    <w:rsid w:val="00E14925"/>
    <w:rsid w:val="00E26A54"/>
    <w:rsid w:val="00E27E09"/>
    <w:rsid w:val="00E301C7"/>
    <w:rsid w:val="00E35E0A"/>
    <w:rsid w:val="00E4076D"/>
    <w:rsid w:val="00E539ED"/>
    <w:rsid w:val="00E74676"/>
    <w:rsid w:val="00E810A5"/>
    <w:rsid w:val="00E95D2E"/>
    <w:rsid w:val="00E97637"/>
    <w:rsid w:val="00EA6D8F"/>
    <w:rsid w:val="00EC745A"/>
    <w:rsid w:val="00ED5DEF"/>
    <w:rsid w:val="00EF1947"/>
    <w:rsid w:val="00EF3E9E"/>
    <w:rsid w:val="00F0719D"/>
    <w:rsid w:val="00F20667"/>
    <w:rsid w:val="00F2226C"/>
    <w:rsid w:val="00F26329"/>
    <w:rsid w:val="00F46814"/>
    <w:rsid w:val="00F62465"/>
    <w:rsid w:val="00F81F69"/>
    <w:rsid w:val="00F84CC7"/>
    <w:rsid w:val="00F96FF6"/>
    <w:rsid w:val="00FA2DC8"/>
    <w:rsid w:val="00FC1B7C"/>
    <w:rsid w:val="00FC7C8D"/>
    <w:rsid w:val="00FE52AB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7976D4DD-BF2E-4B8F-9A08-0AF94A77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C17137F9-3FFF-4B5E-9E80-E71D79013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 Prince</dc:creator>
  <cp:keywords/>
  <dc:description/>
  <cp:lastModifiedBy>Jessica Hough</cp:lastModifiedBy>
  <cp:revision>7</cp:revision>
  <dcterms:created xsi:type="dcterms:W3CDTF">2025-07-16T12:40:00Z</dcterms:created>
  <dcterms:modified xsi:type="dcterms:W3CDTF">2025-09-04T11:36:00Z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