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0F2F6350" w14:textId="2885896B" w:rsidR="00361026" w:rsidRPr="00361026" w:rsidRDefault="00361026" w:rsidP="00361026">
            <w:pPr>
              <w:pStyle w:val="Title"/>
              <w:rPr>
                <w:b/>
                <w:bCs/>
                <w:sz w:val="28"/>
                <w:szCs w:val="48"/>
              </w:rPr>
            </w:pPr>
            <w:r w:rsidRPr="00361026">
              <w:rPr>
                <w:b/>
                <w:bCs/>
                <w:sz w:val="28"/>
                <w:szCs w:val="48"/>
              </w:rPr>
              <w:t>Consultant in Public Health / Public Health Medicine</w:t>
            </w:r>
            <w:r w:rsidR="000561EB">
              <w:rPr>
                <w:b/>
                <w:bCs/>
                <w:sz w:val="28"/>
                <w:szCs w:val="48"/>
              </w:rPr>
              <w:t>/ Deputy Director</w:t>
            </w:r>
          </w:p>
          <w:p w14:paraId="3A2B85FA" w14:textId="34997C71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361026" w:rsidRPr="00361026">
              <w:rPr>
                <w:b/>
                <w:bCs/>
                <w:sz w:val="24"/>
                <w:szCs w:val="24"/>
              </w:rPr>
              <w:t>NHS Consultant / AfC 8d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1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3B09E543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88AB935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33B9F462" w14:textId="76F362F9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32EB0B03" w14:textId="77777777" w:rsidR="001962F7" w:rsidRDefault="001962F7" w:rsidP="001962F7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lastRenderedPageBreak/>
              <w:t xml:space="preserve">About the Job </w:t>
            </w:r>
          </w:p>
          <w:p w14:paraId="0A69E08F" w14:textId="3E2B42BC" w:rsidR="004A513E" w:rsidRPr="000561EB" w:rsidRDefault="004A513E" w:rsidP="004A513E">
            <w:pPr>
              <w:rPr>
                <w:lang w:val="en-GB"/>
              </w:rPr>
            </w:pPr>
            <w:r w:rsidRPr="000561EB">
              <w:rPr>
                <w:lang w:val="en-GB"/>
              </w:rPr>
              <w:t>As a Consultant in Public Health</w:t>
            </w:r>
            <w:r w:rsidR="000561EB" w:rsidRPr="000561EB">
              <w:rPr>
                <w:lang w:val="en-GB"/>
              </w:rPr>
              <w:t>/ Deputy Director</w:t>
            </w:r>
            <w:r w:rsidRPr="000561EB">
              <w:rPr>
                <w:lang w:val="en-GB"/>
              </w:rPr>
              <w:t>, you will provide strategic leadership, expert advice, and system-wide influence to improve population health outcomes across Halton.</w:t>
            </w:r>
          </w:p>
          <w:p w14:paraId="1AD87CC8" w14:textId="77777777" w:rsidR="004A513E" w:rsidRPr="004A513E" w:rsidRDefault="004A513E" w:rsidP="004A513E">
            <w:pPr>
              <w:rPr>
                <w:lang w:val="en-GB"/>
              </w:rPr>
            </w:pPr>
          </w:p>
          <w:p w14:paraId="7E37CC49" w14:textId="77777777" w:rsidR="004A513E" w:rsidRPr="004A513E" w:rsidRDefault="004A513E" w:rsidP="004A513E">
            <w:pPr>
              <w:rPr>
                <w:b/>
                <w:bCs/>
                <w:lang w:val="en-GB"/>
              </w:rPr>
            </w:pPr>
            <w:r w:rsidRPr="004A513E">
              <w:rPr>
                <w:b/>
                <w:bCs/>
                <w:lang w:val="en-GB"/>
              </w:rPr>
              <w:t>Key responsibilities include:</w:t>
            </w:r>
          </w:p>
          <w:p w14:paraId="3DA4FF3C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Lead priority public health areas (e.g. ageing well, healthy lifestyles and wellbeing, community development) and agreed portfolios. </w:t>
            </w:r>
          </w:p>
          <w:p w14:paraId="7DE07E3B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Provide expert public health advice to the Council, Health and Wellbeing Board, NHS and partners to support evidence-based decision-making and commissioning. </w:t>
            </w:r>
          </w:p>
          <w:p w14:paraId="28578AAE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Develop and implement local, regional and national public health strategies, policies and programmes. </w:t>
            </w:r>
          </w:p>
          <w:p w14:paraId="417008C2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Lead and manage public health commissioning, service improvement, and transformation programmes across systems. </w:t>
            </w:r>
          </w:p>
          <w:p w14:paraId="020CC243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Use health intelligence, data analysis and research evidence to assess population needs and inform planning and resource allocation. </w:t>
            </w:r>
          </w:p>
          <w:p w14:paraId="3E853844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Commission, deliver and translate research, audit and evaluation into public health practice. </w:t>
            </w:r>
          </w:p>
          <w:p w14:paraId="17CC5DD4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Provide strategic leadership across organisational boundaries, influencing without direct authority. </w:t>
            </w:r>
          </w:p>
          <w:p w14:paraId="16383F52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Deputise for the Director of Public Health where required. </w:t>
            </w:r>
          </w:p>
          <w:p w14:paraId="06E1F433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Lead responses to health protection risks and emergencies. </w:t>
            </w:r>
          </w:p>
          <w:p w14:paraId="2561FFFA" w14:textId="77777777" w:rsidR="004A513E" w:rsidRPr="000561EB" w:rsidRDefault="004A513E" w:rsidP="004A513E">
            <w:pPr>
              <w:numPr>
                <w:ilvl w:val="0"/>
                <w:numId w:val="24"/>
              </w:numPr>
              <w:rPr>
                <w:lang w:val="en-GB"/>
              </w:rPr>
            </w:pPr>
            <w:r w:rsidRPr="000561EB">
              <w:rPr>
                <w:lang w:val="en-GB"/>
              </w:rPr>
              <w:t xml:space="preserve">Ensure services address health inequalities and wider determinants of health. </w:t>
            </w:r>
          </w:p>
          <w:p w14:paraId="1EF1FB65" w14:textId="77777777" w:rsidR="004A513E" w:rsidRDefault="004A513E" w:rsidP="004A513E">
            <w:pPr>
              <w:rPr>
                <w:lang w:val="en-GB"/>
              </w:rPr>
            </w:pPr>
          </w:p>
          <w:p w14:paraId="4E6C06D8" w14:textId="77777777" w:rsidR="004A513E" w:rsidRDefault="004A513E" w:rsidP="004A513E">
            <w:pPr>
              <w:rPr>
                <w:lang w:val="en-GB"/>
              </w:rPr>
            </w:pPr>
          </w:p>
          <w:p w14:paraId="7D068286" w14:textId="77777777" w:rsidR="004A513E" w:rsidRDefault="004A513E" w:rsidP="004A513E">
            <w:pPr>
              <w:rPr>
                <w:lang w:val="en-GB"/>
              </w:rPr>
            </w:pPr>
          </w:p>
          <w:p w14:paraId="55BF8028" w14:textId="77777777" w:rsidR="004A513E" w:rsidRDefault="004A513E" w:rsidP="004A513E">
            <w:pPr>
              <w:rPr>
                <w:lang w:val="en-GB"/>
              </w:rPr>
            </w:pPr>
          </w:p>
          <w:p w14:paraId="08737605" w14:textId="0AE3F801" w:rsidR="004A513E" w:rsidRPr="004A513E" w:rsidRDefault="004A513E" w:rsidP="004A513E">
            <w:pPr>
              <w:rPr>
                <w:lang w:val="en-GB"/>
              </w:rPr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03B55308" w14:textId="77777777" w:rsidR="00361026" w:rsidRPr="00361026" w:rsidRDefault="0015766D" w:rsidP="0036102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pict w14:anchorId="125708D5">
                <v:rect id="_x0000_i1025" style="width:0;height:1.5pt" o:hralign="center" o:hrstd="t" o:hr="t" fillcolor="#a0a0a0" stroked="f"/>
              </w:pict>
            </w:r>
          </w:p>
          <w:p w14:paraId="3316C41A" w14:textId="77777777" w:rsidR="00361026" w:rsidRPr="00361026" w:rsidRDefault="00361026" w:rsidP="00361026">
            <w:pPr>
              <w:spacing w:line="276" w:lineRule="auto"/>
              <w:rPr>
                <w:b/>
                <w:bCs/>
                <w:lang w:val="en-GB"/>
              </w:rPr>
            </w:pPr>
            <w:r w:rsidRPr="00361026">
              <w:rPr>
                <w:b/>
                <w:bCs/>
                <w:lang w:val="en-GB"/>
              </w:rPr>
              <w:t>Qualifications</w:t>
            </w:r>
          </w:p>
          <w:p w14:paraId="3E90CE99" w14:textId="77777777" w:rsidR="00045D53" w:rsidRDefault="00361026" w:rsidP="00361026">
            <w:pPr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Registered Public Health Specialist (GMC, GDC or UKPHR) </w:t>
            </w:r>
          </w:p>
          <w:p w14:paraId="0B6DF922" w14:textId="3D9FE9E3" w:rsidR="00361026" w:rsidRPr="00361026" w:rsidRDefault="00045D53" w:rsidP="00361026">
            <w:pPr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Applicants on</w:t>
            </w:r>
            <w:r w:rsidR="00B40E2C">
              <w:rPr>
                <w:lang w:val="en-GB"/>
              </w:rPr>
              <w:t xml:space="preserve"> a UK</w:t>
            </w:r>
            <w:r w:rsidR="00275289">
              <w:rPr>
                <w:lang w:val="en-GB"/>
              </w:rPr>
              <w:t xml:space="preserve"> training scheme will be considered </w:t>
            </w:r>
            <w:r w:rsidR="00361026" w:rsidRPr="00361026">
              <w:rPr>
                <w:lang w:val="en-GB"/>
              </w:rPr>
              <w:t xml:space="preserve">within 6 months of </w:t>
            </w:r>
            <w:r w:rsidR="00B40E2C">
              <w:rPr>
                <w:lang w:val="en-GB"/>
              </w:rPr>
              <w:t xml:space="preserve">CCT </w:t>
            </w:r>
            <w:r w:rsidR="00361026" w:rsidRPr="00361026">
              <w:rPr>
                <w:lang w:val="en-GB"/>
              </w:rPr>
              <w:t>registration</w:t>
            </w:r>
          </w:p>
          <w:p w14:paraId="14FB3F1B" w14:textId="6FC7A698" w:rsidR="00361026" w:rsidRPr="00361026" w:rsidRDefault="00361026" w:rsidP="00361026">
            <w:pPr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Membership of Faculty of Public Health (or equivalent). </w:t>
            </w:r>
          </w:p>
          <w:p w14:paraId="05B0B9AA" w14:textId="594EF952" w:rsidR="00361026" w:rsidRPr="00361026" w:rsidRDefault="00361026" w:rsidP="00361026">
            <w:pPr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Evidence of continuing professional development and (where applicable) CCT or equivalent. </w:t>
            </w:r>
          </w:p>
          <w:p w14:paraId="67CF73D7" w14:textId="77777777" w:rsidR="00361026" w:rsidRPr="00361026" w:rsidRDefault="00361026" w:rsidP="00361026">
            <w:pPr>
              <w:spacing w:line="276" w:lineRule="auto"/>
              <w:rPr>
                <w:b/>
                <w:bCs/>
                <w:lang w:val="en-GB"/>
              </w:rPr>
            </w:pPr>
            <w:r w:rsidRPr="00361026">
              <w:rPr>
                <w:b/>
                <w:bCs/>
                <w:lang w:val="en-GB"/>
              </w:rPr>
              <w:t>Experience</w:t>
            </w:r>
          </w:p>
          <w:p w14:paraId="1C9BEB14" w14:textId="639DA7A6" w:rsidR="00361026" w:rsidRPr="000561EB" w:rsidRDefault="00361026" w:rsidP="00361026">
            <w:pPr>
              <w:numPr>
                <w:ilvl w:val="0"/>
                <w:numId w:val="26"/>
              </w:numPr>
              <w:spacing w:line="276" w:lineRule="auto"/>
              <w:rPr>
                <w:lang w:val="en-GB"/>
              </w:rPr>
            </w:pPr>
            <w:r w:rsidRPr="000561EB">
              <w:rPr>
                <w:lang w:val="en-GB"/>
              </w:rPr>
              <w:t xml:space="preserve">Significant senior-level experience in public health leadership and system-wide change, preferably in a local authority setting. </w:t>
            </w:r>
          </w:p>
          <w:p w14:paraId="24962E4B" w14:textId="62C731D4" w:rsidR="00361026" w:rsidRPr="000561EB" w:rsidRDefault="00361026" w:rsidP="00361026">
            <w:pPr>
              <w:numPr>
                <w:ilvl w:val="0"/>
                <w:numId w:val="26"/>
              </w:numPr>
              <w:spacing w:line="276" w:lineRule="auto"/>
              <w:rPr>
                <w:lang w:val="en-GB"/>
              </w:rPr>
            </w:pPr>
            <w:r w:rsidRPr="000561EB">
              <w:rPr>
                <w:lang w:val="en-GB"/>
              </w:rPr>
              <w:t>Experience of comm</w:t>
            </w:r>
            <w:r w:rsidR="00C1127A" w:rsidRPr="000561EB">
              <w:rPr>
                <w:lang w:val="en-GB"/>
              </w:rPr>
              <w:t>unity development</w:t>
            </w:r>
            <w:r w:rsidRPr="000561EB">
              <w:rPr>
                <w:lang w:val="en-GB"/>
              </w:rPr>
              <w:t xml:space="preserve">, service redesign and partnership working across sectors. </w:t>
            </w:r>
          </w:p>
          <w:p w14:paraId="6C4F5965" w14:textId="43C2C131" w:rsidR="00361026" w:rsidRPr="000561EB" w:rsidRDefault="00361026" w:rsidP="001E0F51">
            <w:pPr>
              <w:numPr>
                <w:ilvl w:val="0"/>
                <w:numId w:val="26"/>
              </w:numPr>
              <w:spacing w:line="276" w:lineRule="auto"/>
              <w:rPr>
                <w:lang w:val="en-GB"/>
              </w:rPr>
            </w:pPr>
            <w:r w:rsidRPr="000561EB">
              <w:rPr>
                <w:lang w:val="en-GB"/>
              </w:rPr>
              <w:t xml:space="preserve">Experience using complex data and evidence to influence decision-making. </w:t>
            </w:r>
          </w:p>
          <w:p w14:paraId="6398FB4B" w14:textId="3031084B" w:rsidR="007E49A9" w:rsidRPr="000561EB" w:rsidRDefault="007E49A9" w:rsidP="007E49A9">
            <w:pPr>
              <w:spacing w:line="276" w:lineRule="auto"/>
              <w:rPr>
                <w:b/>
                <w:bCs/>
                <w:lang w:val="en-GB"/>
              </w:rPr>
            </w:pPr>
            <w:r w:rsidRPr="000561EB">
              <w:rPr>
                <w:b/>
                <w:bCs/>
                <w:lang w:val="en-GB"/>
              </w:rPr>
              <w:t>Knowledge</w:t>
            </w:r>
          </w:p>
          <w:p w14:paraId="3B256191" w14:textId="3235897C" w:rsidR="00361026" w:rsidRPr="000561EB" w:rsidRDefault="00361026" w:rsidP="00361026">
            <w:pPr>
              <w:numPr>
                <w:ilvl w:val="0"/>
                <w:numId w:val="27"/>
              </w:numPr>
              <w:spacing w:line="276" w:lineRule="auto"/>
              <w:rPr>
                <w:lang w:val="en-GB"/>
              </w:rPr>
            </w:pPr>
            <w:r w:rsidRPr="000561EB">
              <w:rPr>
                <w:lang w:val="en-GB"/>
              </w:rPr>
              <w:t xml:space="preserve">In-depth understanding of health systems, local government, and wider determinants of health. </w:t>
            </w:r>
          </w:p>
          <w:p w14:paraId="241CC47B" w14:textId="4AE82F64" w:rsidR="00361026" w:rsidRPr="000561EB" w:rsidRDefault="00361026" w:rsidP="00361026">
            <w:pPr>
              <w:numPr>
                <w:ilvl w:val="0"/>
                <w:numId w:val="27"/>
              </w:numPr>
              <w:spacing w:line="276" w:lineRule="auto"/>
              <w:rPr>
                <w:lang w:val="en-GB"/>
              </w:rPr>
            </w:pPr>
            <w:r w:rsidRPr="000561EB">
              <w:rPr>
                <w:lang w:val="en-GB"/>
              </w:rPr>
              <w:t xml:space="preserve">Strong knowledge of evidence-based public health, quality improvement and evaluation methods. </w:t>
            </w:r>
          </w:p>
          <w:p w14:paraId="68C38889" w14:textId="06B594B2" w:rsidR="00361026" w:rsidRPr="000561EB" w:rsidRDefault="00361026" w:rsidP="00657BF6">
            <w:pPr>
              <w:numPr>
                <w:ilvl w:val="0"/>
                <w:numId w:val="27"/>
              </w:numPr>
              <w:spacing w:line="276" w:lineRule="auto"/>
              <w:rPr>
                <w:lang w:val="en-GB"/>
              </w:rPr>
            </w:pPr>
            <w:r w:rsidRPr="000561EB">
              <w:rPr>
                <w:lang w:val="en-GB"/>
              </w:rPr>
              <w:t>Understanding of health inequalities and statutory/public sector duties.</w:t>
            </w:r>
          </w:p>
          <w:p w14:paraId="0A46E220" w14:textId="77777777" w:rsidR="00636A17" w:rsidRPr="00636A17" w:rsidRDefault="00636A17" w:rsidP="00347237">
            <w:pPr>
              <w:spacing w:line="276" w:lineRule="auto"/>
              <w:ind w:left="720"/>
              <w:rPr>
                <w:b/>
                <w:bCs/>
                <w:lang w:val="en-GB"/>
              </w:rPr>
            </w:pPr>
          </w:p>
          <w:p w14:paraId="7A4B7491" w14:textId="6CBFA257" w:rsidR="00636A17" w:rsidRPr="00361026" w:rsidRDefault="00636A17" w:rsidP="00636A17">
            <w:pPr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Skills and Competencies</w:t>
            </w:r>
          </w:p>
          <w:p w14:paraId="3059EFF9" w14:textId="7F162CFA" w:rsidR="00361026" w:rsidRPr="00361026" w:rsidRDefault="00361026" w:rsidP="00361026">
            <w:pPr>
              <w:numPr>
                <w:ilvl w:val="0"/>
                <w:numId w:val="28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Strategic leadership and ability to influence at senior levels. </w:t>
            </w:r>
          </w:p>
          <w:p w14:paraId="0557F522" w14:textId="7636503C" w:rsidR="00361026" w:rsidRPr="00361026" w:rsidRDefault="00361026" w:rsidP="00361026">
            <w:pPr>
              <w:numPr>
                <w:ilvl w:val="0"/>
                <w:numId w:val="28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lastRenderedPageBreak/>
              <w:t xml:space="preserve">Advanced analytical and critical appraisal skills (qualitative and quantitative). </w:t>
            </w:r>
          </w:p>
          <w:p w14:paraId="1A63CC61" w14:textId="4E9591C7" w:rsidR="00361026" w:rsidRPr="00361026" w:rsidRDefault="00361026" w:rsidP="00361026">
            <w:pPr>
              <w:numPr>
                <w:ilvl w:val="0"/>
                <w:numId w:val="28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Ability to develop and </w:t>
            </w:r>
            <w:r w:rsidRPr="000561EB">
              <w:rPr>
                <w:lang w:val="en-GB"/>
              </w:rPr>
              <w:t>implement policy, strategy and commissioning plans.</w:t>
            </w:r>
            <w:r w:rsidRPr="00361026">
              <w:rPr>
                <w:lang w:val="en-GB"/>
              </w:rPr>
              <w:t xml:space="preserve"> </w:t>
            </w:r>
          </w:p>
          <w:p w14:paraId="01A47378" w14:textId="5B067108" w:rsidR="00361026" w:rsidRPr="00361026" w:rsidRDefault="00361026" w:rsidP="00361026">
            <w:pPr>
              <w:numPr>
                <w:ilvl w:val="0"/>
                <w:numId w:val="28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Strong communication, negotiation and partnership-working skills. </w:t>
            </w:r>
          </w:p>
          <w:p w14:paraId="1CEE67FC" w14:textId="11BA95B2" w:rsidR="00361026" w:rsidRDefault="00361026" w:rsidP="00361026">
            <w:pPr>
              <w:numPr>
                <w:ilvl w:val="0"/>
                <w:numId w:val="28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Ability to lead through complexity, uncertainty and emergency situations. </w:t>
            </w:r>
          </w:p>
          <w:p w14:paraId="4B51BBC2" w14:textId="77777777" w:rsidR="009F1AAB" w:rsidRPr="00361026" w:rsidRDefault="009F1AAB" w:rsidP="009F1AAB">
            <w:pPr>
              <w:spacing w:line="276" w:lineRule="auto"/>
              <w:ind w:left="720"/>
              <w:rPr>
                <w:lang w:val="en-GB"/>
              </w:rPr>
            </w:pPr>
          </w:p>
          <w:p w14:paraId="0117FA88" w14:textId="77777777" w:rsidR="00361026" w:rsidRPr="00361026" w:rsidRDefault="00361026" w:rsidP="00361026">
            <w:pPr>
              <w:spacing w:line="276" w:lineRule="auto"/>
              <w:rPr>
                <w:b/>
                <w:bCs/>
                <w:lang w:val="en-GB"/>
              </w:rPr>
            </w:pPr>
            <w:r w:rsidRPr="00361026">
              <w:rPr>
                <w:b/>
                <w:bCs/>
                <w:lang w:val="en-GB"/>
              </w:rPr>
              <w:t>Personal Attributes</w:t>
            </w:r>
          </w:p>
          <w:p w14:paraId="0FF2D311" w14:textId="2F547FAB" w:rsidR="00361026" w:rsidRPr="00361026" w:rsidRDefault="00361026" w:rsidP="00361026">
            <w:pPr>
              <w:numPr>
                <w:ilvl w:val="0"/>
                <w:numId w:val="29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>High level of</w:t>
            </w:r>
            <w:r w:rsidRPr="000561EB">
              <w:rPr>
                <w:lang w:val="en-GB"/>
              </w:rPr>
              <w:t xml:space="preserve"> integrity, political awareness, and professional judgement. </w:t>
            </w:r>
            <w:hyperlink r:id="rId13" w:history="1"/>
          </w:p>
          <w:p w14:paraId="7197EFFB" w14:textId="44319A39" w:rsidR="00361026" w:rsidRPr="00361026" w:rsidRDefault="00361026" w:rsidP="00361026">
            <w:pPr>
              <w:numPr>
                <w:ilvl w:val="0"/>
                <w:numId w:val="29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Ability to influence and advocate across organisations and communities. </w:t>
            </w:r>
          </w:p>
          <w:p w14:paraId="27F2ACAF" w14:textId="79015BF4" w:rsidR="00361026" w:rsidRPr="00361026" w:rsidRDefault="00361026" w:rsidP="000833B9">
            <w:pPr>
              <w:numPr>
                <w:ilvl w:val="0"/>
                <w:numId w:val="29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Commitment to improving population health and reducing inequalities. </w:t>
            </w:r>
            <w:r w:rsidR="0015766D">
              <w:rPr>
                <w:lang w:val="en-GB"/>
              </w:rPr>
              <w:pict w14:anchorId="2FFA946B">
                <v:rect id="_x0000_i1026" style="width:0;height:1.5pt" o:hralign="center" o:hrstd="t" o:hr="t" fillcolor="#a0a0a0" stroked="f"/>
              </w:pict>
            </w:r>
          </w:p>
          <w:p w14:paraId="24C82222" w14:textId="2F47D49C" w:rsidR="00361026" w:rsidRPr="00361026" w:rsidRDefault="00361026" w:rsidP="00361026">
            <w:pPr>
              <w:spacing w:line="276" w:lineRule="auto"/>
              <w:rPr>
                <w:b/>
                <w:bCs/>
                <w:lang w:val="en-GB"/>
              </w:rPr>
            </w:pPr>
            <w:r w:rsidRPr="00361026">
              <w:rPr>
                <w:b/>
                <w:bCs/>
                <w:lang w:val="en-GB"/>
              </w:rPr>
              <w:t>Additional Responsibilities</w:t>
            </w:r>
          </w:p>
          <w:p w14:paraId="1B8F5642" w14:textId="5F421A62" w:rsidR="00361026" w:rsidRPr="00361026" w:rsidRDefault="00361026" w:rsidP="00361026">
            <w:pPr>
              <w:numPr>
                <w:ilvl w:val="0"/>
                <w:numId w:val="30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Line management of public health staff and </w:t>
            </w:r>
            <w:r w:rsidR="000561EB" w:rsidRPr="000561EB">
              <w:rPr>
                <w:lang w:val="en-GB"/>
              </w:rPr>
              <w:t xml:space="preserve">PH Specialty Registrars or F2s </w:t>
            </w:r>
            <w:r w:rsidR="000561EB">
              <w:rPr>
                <w:lang w:val="en-GB"/>
              </w:rPr>
              <w:t>as well as others in a training role.</w:t>
            </w:r>
            <w:r w:rsidRPr="00361026">
              <w:rPr>
                <w:lang w:val="en-GB"/>
              </w:rPr>
              <w:t xml:space="preserve"> </w:t>
            </w:r>
          </w:p>
          <w:p w14:paraId="64ECD8E6" w14:textId="3DB665CD" w:rsidR="00361026" w:rsidRPr="00361026" w:rsidRDefault="00361026" w:rsidP="00361026">
            <w:pPr>
              <w:numPr>
                <w:ilvl w:val="0"/>
                <w:numId w:val="30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>Budget holder for public health programmes and oversight of financial performance</w:t>
            </w:r>
            <w:r w:rsidR="00AF2060">
              <w:rPr>
                <w:lang w:val="en-GB"/>
              </w:rPr>
              <w:t>.</w:t>
            </w:r>
          </w:p>
          <w:p w14:paraId="6D49CEDC" w14:textId="0F721FDC" w:rsidR="00361026" w:rsidRPr="00361026" w:rsidRDefault="00361026" w:rsidP="00361026">
            <w:pPr>
              <w:numPr>
                <w:ilvl w:val="0"/>
                <w:numId w:val="30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Contribution to training, workforce development and professional education. </w:t>
            </w:r>
          </w:p>
          <w:p w14:paraId="4BE27044" w14:textId="071623E0" w:rsidR="00361026" w:rsidRPr="00361026" w:rsidRDefault="00361026" w:rsidP="00FA1466">
            <w:pPr>
              <w:numPr>
                <w:ilvl w:val="0"/>
                <w:numId w:val="30"/>
              </w:numPr>
              <w:spacing w:line="276" w:lineRule="auto"/>
              <w:rPr>
                <w:lang w:val="en-GB"/>
              </w:rPr>
            </w:pPr>
            <w:r w:rsidRPr="00361026">
              <w:rPr>
                <w:lang w:val="en-GB"/>
              </w:rPr>
              <w:t xml:space="preserve">Participation in appraisal, CPD, audit and professional standards requirements. </w:t>
            </w:r>
            <w:r w:rsidR="0015766D">
              <w:rPr>
                <w:lang w:val="en-GB"/>
              </w:rPr>
              <w:pict w14:anchorId="3B1C99D3">
                <v:rect id="_x0000_i1027" style="width:0;height:1.5pt" o:hralign="center" o:hrstd="t" o:hr="t" fillcolor="#a0a0a0" stroked="f"/>
              </w:pict>
            </w:r>
          </w:p>
          <w:p w14:paraId="58A0713F" w14:textId="2EDE8C3B" w:rsidR="00460DA4" w:rsidRDefault="008A28B5" w:rsidP="00460DA4">
            <w:pPr>
              <w:spacing w:line="276" w:lineRule="auto"/>
            </w:pPr>
            <w:r>
              <w:t xml:space="preserve">In </w:t>
            </w:r>
            <w:r w:rsidR="00FD01C1">
              <w:t>addition,</w:t>
            </w:r>
            <w:r>
              <w:t xml:space="preserve"> </w:t>
            </w:r>
            <w:r w:rsidR="00460DA4">
              <w:t>the post holder will be expected to demonstrate knowledge and understanding of the Faculty of Public Health core public health competencies</w:t>
            </w:r>
            <w:r w:rsidR="00AF2060">
              <w:t>.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26CB5DAD" w:rsidR="00EC745A" w:rsidRPr="00EC745A" w:rsidRDefault="00EC745A" w:rsidP="00FE52AB">
            <w:pPr>
              <w:spacing w:line="276" w:lineRule="auto"/>
            </w:pPr>
            <w:r>
              <w:t xml:space="preserve">As this role involves regular travel across the borough and sometimes further afield, a driving </w:t>
            </w:r>
            <w:r w:rsidR="006F2122">
              <w:t>licen</w:t>
            </w:r>
            <w:r w:rsidR="000561EB">
              <w:t>c</w:t>
            </w:r>
            <w:r w:rsidR="006F2122">
              <w:t>e</w:t>
            </w:r>
            <w:r>
              <w:t xml:space="preserve">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AF8A" w14:textId="77777777" w:rsidR="0015766D" w:rsidRDefault="0015766D" w:rsidP="00BC73FC">
      <w:r>
        <w:separator/>
      </w:r>
    </w:p>
  </w:endnote>
  <w:endnote w:type="continuationSeparator" w:id="0">
    <w:p w14:paraId="2B5FBA99" w14:textId="77777777" w:rsidR="0015766D" w:rsidRDefault="0015766D" w:rsidP="00BC73FC">
      <w:r>
        <w:continuationSeparator/>
      </w:r>
    </w:p>
  </w:endnote>
  <w:endnote w:type="continuationNotice" w:id="1">
    <w:p w14:paraId="468EBC80" w14:textId="77777777" w:rsidR="0015766D" w:rsidRDefault="00157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C77A" w14:textId="77777777" w:rsidR="0015766D" w:rsidRDefault="0015766D" w:rsidP="00BC73FC">
      <w:r>
        <w:separator/>
      </w:r>
    </w:p>
  </w:footnote>
  <w:footnote w:type="continuationSeparator" w:id="0">
    <w:p w14:paraId="53FAE8D8" w14:textId="77777777" w:rsidR="0015766D" w:rsidRDefault="0015766D" w:rsidP="00BC73FC">
      <w:r>
        <w:continuationSeparator/>
      </w:r>
    </w:p>
  </w:footnote>
  <w:footnote w:type="continuationNotice" w:id="1">
    <w:p w14:paraId="75CDABFD" w14:textId="77777777" w:rsidR="0015766D" w:rsidRDefault="001576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9692F"/>
    <w:multiLevelType w:val="multilevel"/>
    <w:tmpl w:val="FA5A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7DC6E8B"/>
    <w:multiLevelType w:val="multilevel"/>
    <w:tmpl w:val="587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DF4130"/>
    <w:multiLevelType w:val="multilevel"/>
    <w:tmpl w:val="34A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2020C"/>
    <w:multiLevelType w:val="multilevel"/>
    <w:tmpl w:val="4C70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34D4B"/>
    <w:multiLevelType w:val="multilevel"/>
    <w:tmpl w:val="F332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1467AA"/>
    <w:multiLevelType w:val="multilevel"/>
    <w:tmpl w:val="685E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886D54"/>
    <w:multiLevelType w:val="multilevel"/>
    <w:tmpl w:val="18F4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7FFB1678"/>
    <w:multiLevelType w:val="multilevel"/>
    <w:tmpl w:val="396E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8"/>
  </w:num>
  <w:num w:numId="6" w16cid:durableId="854002118">
    <w:abstractNumId w:val="17"/>
  </w:num>
  <w:num w:numId="7" w16cid:durableId="9643203">
    <w:abstractNumId w:val="28"/>
  </w:num>
  <w:num w:numId="8" w16cid:durableId="2094618771">
    <w:abstractNumId w:val="21"/>
  </w:num>
  <w:num w:numId="9" w16cid:durableId="1866013986">
    <w:abstractNumId w:val="22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3"/>
  </w:num>
  <w:num w:numId="14" w16cid:durableId="1943221786">
    <w:abstractNumId w:val="19"/>
  </w:num>
  <w:num w:numId="15" w16cid:durableId="17393087">
    <w:abstractNumId w:val="12"/>
  </w:num>
  <w:num w:numId="16" w16cid:durableId="79496472">
    <w:abstractNumId w:val="3"/>
  </w:num>
  <w:num w:numId="17" w16cid:durableId="1190876401">
    <w:abstractNumId w:val="10"/>
  </w:num>
  <w:num w:numId="18" w16cid:durableId="1516726489">
    <w:abstractNumId w:val="26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20"/>
  </w:num>
  <w:num w:numId="22" w16cid:durableId="1128014861">
    <w:abstractNumId w:val="24"/>
  </w:num>
  <w:num w:numId="23" w16cid:durableId="444471535">
    <w:abstractNumId w:val="16"/>
  </w:num>
  <w:num w:numId="24" w16cid:durableId="1634405011">
    <w:abstractNumId w:val="13"/>
  </w:num>
  <w:num w:numId="25" w16cid:durableId="1852795754">
    <w:abstractNumId w:val="25"/>
  </w:num>
  <w:num w:numId="26" w16cid:durableId="482817393">
    <w:abstractNumId w:val="5"/>
  </w:num>
  <w:num w:numId="27" w16cid:durableId="1078211336">
    <w:abstractNumId w:val="27"/>
  </w:num>
  <w:num w:numId="28" w16cid:durableId="460267389">
    <w:abstractNumId w:val="29"/>
  </w:num>
  <w:num w:numId="29" w16cid:durableId="1736271856">
    <w:abstractNumId w:val="15"/>
  </w:num>
  <w:num w:numId="30" w16cid:durableId="1702626464">
    <w:abstractNumId w:val="9"/>
  </w:num>
  <w:num w:numId="31" w16cid:durableId="593321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1AAF"/>
    <w:rsid w:val="000145F9"/>
    <w:rsid w:val="00023A24"/>
    <w:rsid w:val="000275E3"/>
    <w:rsid w:val="00045D53"/>
    <w:rsid w:val="000561EB"/>
    <w:rsid w:val="00060551"/>
    <w:rsid w:val="000761F2"/>
    <w:rsid w:val="00081FB9"/>
    <w:rsid w:val="0009529B"/>
    <w:rsid w:val="000E0F1E"/>
    <w:rsid w:val="000E1C8B"/>
    <w:rsid w:val="000F3057"/>
    <w:rsid w:val="000F5A32"/>
    <w:rsid w:val="0010498C"/>
    <w:rsid w:val="00107AAE"/>
    <w:rsid w:val="00117D1E"/>
    <w:rsid w:val="001360EF"/>
    <w:rsid w:val="00141C6D"/>
    <w:rsid w:val="0015766D"/>
    <w:rsid w:val="0016322D"/>
    <w:rsid w:val="0016361F"/>
    <w:rsid w:val="0016524D"/>
    <w:rsid w:val="001806C6"/>
    <w:rsid w:val="00180710"/>
    <w:rsid w:val="00181676"/>
    <w:rsid w:val="001826D2"/>
    <w:rsid w:val="001962F7"/>
    <w:rsid w:val="001C6CDA"/>
    <w:rsid w:val="001D36DA"/>
    <w:rsid w:val="001D6FBB"/>
    <w:rsid w:val="001D7755"/>
    <w:rsid w:val="001F095C"/>
    <w:rsid w:val="001F23DF"/>
    <w:rsid w:val="001F46F6"/>
    <w:rsid w:val="00213E7B"/>
    <w:rsid w:val="002141F8"/>
    <w:rsid w:val="00226843"/>
    <w:rsid w:val="00236234"/>
    <w:rsid w:val="0024328B"/>
    <w:rsid w:val="0024622E"/>
    <w:rsid w:val="002466AB"/>
    <w:rsid w:val="00246D98"/>
    <w:rsid w:val="002511DA"/>
    <w:rsid w:val="002635AA"/>
    <w:rsid w:val="00267F06"/>
    <w:rsid w:val="00275289"/>
    <w:rsid w:val="00281B02"/>
    <w:rsid w:val="00282267"/>
    <w:rsid w:val="002A0AC2"/>
    <w:rsid w:val="002B48C3"/>
    <w:rsid w:val="002C518F"/>
    <w:rsid w:val="002D755E"/>
    <w:rsid w:val="002F0B75"/>
    <w:rsid w:val="002F6FC8"/>
    <w:rsid w:val="0030456C"/>
    <w:rsid w:val="00327C1E"/>
    <w:rsid w:val="003329C7"/>
    <w:rsid w:val="00347237"/>
    <w:rsid w:val="003551E1"/>
    <w:rsid w:val="00361026"/>
    <w:rsid w:val="00361698"/>
    <w:rsid w:val="00365C93"/>
    <w:rsid w:val="003673F9"/>
    <w:rsid w:val="00372BB5"/>
    <w:rsid w:val="003955FE"/>
    <w:rsid w:val="00395C1F"/>
    <w:rsid w:val="003A0A86"/>
    <w:rsid w:val="003B7059"/>
    <w:rsid w:val="003C60F7"/>
    <w:rsid w:val="003D4D87"/>
    <w:rsid w:val="003E5382"/>
    <w:rsid w:val="004278AD"/>
    <w:rsid w:val="004600FA"/>
    <w:rsid w:val="00460DA4"/>
    <w:rsid w:val="00464888"/>
    <w:rsid w:val="0047322A"/>
    <w:rsid w:val="00480FAD"/>
    <w:rsid w:val="004A513E"/>
    <w:rsid w:val="004A6BB1"/>
    <w:rsid w:val="004A796F"/>
    <w:rsid w:val="004C6BAA"/>
    <w:rsid w:val="00506E16"/>
    <w:rsid w:val="00515D95"/>
    <w:rsid w:val="00530169"/>
    <w:rsid w:val="0053087D"/>
    <w:rsid w:val="005433AA"/>
    <w:rsid w:val="00561A2C"/>
    <w:rsid w:val="00564A01"/>
    <w:rsid w:val="00577543"/>
    <w:rsid w:val="00593983"/>
    <w:rsid w:val="005963C3"/>
    <w:rsid w:val="005A0882"/>
    <w:rsid w:val="005A4D05"/>
    <w:rsid w:val="005B4790"/>
    <w:rsid w:val="005B54B1"/>
    <w:rsid w:val="005C2714"/>
    <w:rsid w:val="005D1FFD"/>
    <w:rsid w:val="005E0795"/>
    <w:rsid w:val="005E0819"/>
    <w:rsid w:val="005E6612"/>
    <w:rsid w:val="005E760C"/>
    <w:rsid w:val="005F2592"/>
    <w:rsid w:val="006126B9"/>
    <w:rsid w:val="00636A17"/>
    <w:rsid w:val="00647C3A"/>
    <w:rsid w:val="00647E2B"/>
    <w:rsid w:val="00676FFA"/>
    <w:rsid w:val="00677A30"/>
    <w:rsid w:val="00677C87"/>
    <w:rsid w:val="0068134D"/>
    <w:rsid w:val="00686EC1"/>
    <w:rsid w:val="00687480"/>
    <w:rsid w:val="00695CD1"/>
    <w:rsid w:val="00696460"/>
    <w:rsid w:val="006C0E64"/>
    <w:rsid w:val="006C21E2"/>
    <w:rsid w:val="006C4D8D"/>
    <w:rsid w:val="006C78E7"/>
    <w:rsid w:val="006D4B28"/>
    <w:rsid w:val="006D50C6"/>
    <w:rsid w:val="006E0691"/>
    <w:rsid w:val="006F2122"/>
    <w:rsid w:val="006F64DF"/>
    <w:rsid w:val="00700D4D"/>
    <w:rsid w:val="007079B0"/>
    <w:rsid w:val="00710C22"/>
    <w:rsid w:val="007128F8"/>
    <w:rsid w:val="00713365"/>
    <w:rsid w:val="00724932"/>
    <w:rsid w:val="00745709"/>
    <w:rsid w:val="00763784"/>
    <w:rsid w:val="00775703"/>
    <w:rsid w:val="007807FB"/>
    <w:rsid w:val="00782DE9"/>
    <w:rsid w:val="007840DF"/>
    <w:rsid w:val="00793DB6"/>
    <w:rsid w:val="007A5CFA"/>
    <w:rsid w:val="007B29E5"/>
    <w:rsid w:val="007C27DD"/>
    <w:rsid w:val="007C3222"/>
    <w:rsid w:val="007E49A9"/>
    <w:rsid w:val="007E4E82"/>
    <w:rsid w:val="007E6C31"/>
    <w:rsid w:val="007F6D8B"/>
    <w:rsid w:val="007F737F"/>
    <w:rsid w:val="0080034A"/>
    <w:rsid w:val="008122A4"/>
    <w:rsid w:val="00814BD7"/>
    <w:rsid w:val="00825CDE"/>
    <w:rsid w:val="00830561"/>
    <w:rsid w:val="00846588"/>
    <w:rsid w:val="008505A9"/>
    <w:rsid w:val="00850D87"/>
    <w:rsid w:val="008716B4"/>
    <w:rsid w:val="00882CF4"/>
    <w:rsid w:val="0089153F"/>
    <w:rsid w:val="008952FC"/>
    <w:rsid w:val="008A28B5"/>
    <w:rsid w:val="008C5BB7"/>
    <w:rsid w:val="008D29E5"/>
    <w:rsid w:val="008D57B9"/>
    <w:rsid w:val="008D68E2"/>
    <w:rsid w:val="008E169C"/>
    <w:rsid w:val="008E51CE"/>
    <w:rsid w:val="008F6384"/>
    <w:rsid w:val="009009E2"/>
    <w:rsid w:val="00902AB1"/>
    <w:rsid w:val="00917803"/>
    <w:rsid w:val="00924729"/>
    <w:rsid w:val="00931470"/>
    <w:rsid w:val="009418CC"/>
    <w:rsid w:val="009579D3"/>
    <w:rsid w:val="00966E71"/>
    <w:rsid w:val="00971691"/>
    <w:rsid w:val="00982CF7"/>
    <w:rsid w:val="0098361A"/>
    <w:rsid w:val="009B45BF"/>
    <w:rsid w:val="009D1074"/>
    <w:rsid w:val="009D4A90"/>
    <w:rsid w:val="009F1AAB"/>
    <w:rsid w:val="00A14E2A"/>
    <w:rsid w:val="00A27909"/>
    <w:rsid w:val="00A3304B"/>
    <w:rsid w:val="00A361BA"/>
    <w:rsid w:val="00A405BB"/>
    <w:rsid w:val="00A440E6"/>
    <w:rsid w:val="00A50F8D"/>
    <w:rsid w:val="00A56890"/>
    <w:rsid w:val="00A57756"/>
    <w:rsid w:val="00A92777"/>
    <w:rsid w:val="00A9439A"/>
    <w:rsid w:val="00AC7DE3"/>
    <w:rsid w:val="00AE230E"/>
    <w:rsid w:val="00AE3EBE"/>
    <w:rsid w:val="00AF2060"/>
    <w:rsid w:val="00AF536B"/>
    <w:rsid w:val="00B03030"/>
    <w:rsid w:val="00B05398"/>
    <w:rsid w:val="00B126E0"/>
    <w:rsid w:val="00B14D8F"/>
    <w:rsid w:val="00B40E2C"/>
    <w:rsid w:val="00B4183E"/>
    <w:rsid w:val="00B45449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151D"/>
    <w:rsid w:val="00BD6187"/>
    <w:rsid w:val="00C107EE"/>
    <w:rsid w:val="00C1127A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B2606"/>
    <w:rsid w:val="00CB3DA3"/>
    <w:rsid w:val="00CC0578"/>
    <w:rsid w:val="00CC3477"/>
    <w:rsid w:val="00CD2F7A"/>
    <w:rsid w:val="00CD3C4E"/>
    <w:rsid w:val="00CF597C"/>
    <w:rsid w:val="00CF6A34"/>
    <w:rsid w:val="00D12306"/>
    <w:rsid w:val="00D15E96"/>
    <w:rsid w:val="00D21392"/>
    <w:rsid w:val="00D27B4A"/>
    <w:rsid w:val="00D33ACE"/>
    <w:rsid w:val="00D3444F"/>
    <w:rsid w:val="00D41D11"/>
    <w:rsid w:val="00D63C04"/>
    <w:rsid w:val="00D655D1"/>
    <w:rsid w:val="00D97443"/>
    <w:rsid w:val="00DA0755"/>
    <w:rsid w:val="00DB629F"/>
    <w:rsid w:val="00DC12AF"/>
    <w:rsid w:val="00DC18BB"/>
    <w:rsid w:val="00DC65EE"/>
    <w:rsid w:val="00DC6AB5"/>
    <w:rsid w:val="00E05091"/>
    <w:rsid w:val="00E14925"/>
    <w:rsid w:val="00E25C30"/>
    <w:rsid w:val="00E26A54"/>
    <w:rsid w:val="00E301C7"/>
    <w:rsid w:val="00E4076D"/>
    <w:rsid w:val="00E53C97"/>
    <w:rsid w:val="00E7121F"/>
    <w:rsid w:val="00E75B1F"/>
    <w:rsid w:val="00E810A5"/>
    <w:rsid w:val="00E87EA7"/>
    <w:rsid w:val="00E95D2E"/>
    <w:rsid w:val="00E97637"/>
    <w:rsid w:val="00EC745A"/>
    <w:rsid w:val="00ED4EB2"/>
    <w:rsid w:val="00ED797D"/>
    <w:rsid w:val="00EE0808"/>
    <w:rsid w:val="00EF1947"/>
    <w:rsid w:val="00EF3E9E"/>
    <w:rsid w:val="00EF477D"/>
    <w:rsid w:val="00F000FC"/>
    <w:rsid w:val="00F02ADC"/>
    <w:rsid w:val="00F10327"/>
    <w:rsid w:val="00F20667"/>
    <w:rsid w:val="00F249FA"/>
    <w:rsid w:val="00F51960"/>
    <w:rsid w:val="00F57C7D"/>
    <w:rsid w:val="00F62465"/>
    <w:rsid w:val="00F81F69"/>
    <w:rsid w:val="00F84CC7"/>
    <w:rsid w:val="00F96FF6"/>
    <w:rsid w:val="00FB4974"/>
    <w:rsid w:val="00FC1B7C"/>
    <w:rsid w:val="00FC7C8D"/>
    <w:rsid w:val="00FD01C1"/>
    <w:rsid w:val="00FD36B0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E0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08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819"/>
    <w:rPr>
      <w:color w:val="005A8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0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819"/>
    <w:rPr>
      <w:b/>
      <w:bCs/>
      <w:color w:val="005A84" w:themeColor="text1"/>
      <w:sz w:val="20"/>
      <w:szCs w:val="20"/>
    </w:rPr>
  </w:style>
  <w:style w:type="paragraph" w:styleId="Revision">
    <w:name w:val="Revision"/>
    <w:hidden/>
    <w:uiPriority w:val="99"/>
    <w:semiHidden/>
    <w:rsid w:val="00AF2060"/>
    <w:rPr>
      <w:color w:val="005A84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govuk-my.sharepoint.com/personal/ifeoma_onyia_halton_gov_uk/_layouts/15/Doc.aspx?sourcedoc=%7B2EADEE81-13F0-4F68-843A-4359BE7C45C4%7D&amp;file=Consultant_in_Public_Health__JDPS_Jan%2025.docx&amp;action=default&amp;mobileredirect=tru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benefi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ltoncouncilcareers.co.uk/valu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9FEE2-CB95-4C6A-9B7F-D86CBCA4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873</Words>
  <Characters>4980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Kerrie Murray</cp:lastModifiedBy>
  <cp:revision>2</cp:revision>
  <dcterms:created xsi:type="dcterms:W3CDTF">2026-06-23T15:16:00Z</dcterms:created>
  <dcterms:modified xsi:type="dcterms:W3CDTF">2026-06-23T15:16:00Z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