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816"/>
        <w:gridCol w:w="2245"/>
        <w:gridCol w:w="157"/>
      </w:tblGrid>
      <w:tr w:rsidR="00372BB5" w14:paraId="4737160A" w14:textId="77777777" w:rsidTr="004C3021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78A074E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021">
              <w:rPr>
                <w:b/>
                <w:bCs/>
                <w:sz w:val="40"/>
                <w:szCs w:val="40"/>
              </w:rPr>
              <w:t xml:space="preserve">Assessment coordinator </w:t>
            </w:r>
          </w:p>
          <w:p w14:paraId="3A2B85FA" w14:textId="62EE5D0C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4C3021">
              <w:rPr>
                <w:b/>
                <w:bCs/>
                <w:sz w:val="24"/>
                <w:szCs w:val="24"/>
              </w:rPr>
              <w:t>HBC 6</w:t>
            </w:r>
          </w:p>
        </w:tc>
        <w:tc>
          <w:tcPr>
            <w:tcW w:w="3816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802475E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1F7B5909" w14:textId="77777777" w:rsidR="004C3021" w:rsidRDefault="004C3021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</w:tcPr>
          <w:p w14:paraId="66ADF150" w14:textId="03400950" w:rsidR="001962F7" w:rsidRPr="004C3021" w:rsidRDefault="004C3021" w:rsidP="004C3021">
            <w:pPr>
              <w:tabs>
                <w:tab w:val="num" w:pos="720"/>
              </w:tabs>
              <w:spacing w:line="276" w:lineRule="auto"/>
              <w:rPr>
                <w:lang w:val="en-GB"/>
              </w:rPr>
            </w:pPr>
            <w:r>
              <w:t xml:space="preserve">You will </w:t>
            </w:r>
            <w:r w:rsidRPr="004C3021">
              <w:rPr>
                <w:lang w:val="en-GB"/>
              </w:rPr>
              <w:t xml:space="preserve">support the implementation of the S.E.N. Reform programme, in line with the Children and Families Act 2014, associated Regulations and the </w:t>
            </w:r>
            <w:r>
              <w:rPr>
                <w:lang w:val="en-GB"/>
              </w:rPr>
              <w:t xml:space="preserve">SEND </w:t>
            </w:r>
            <w:r w:rsidRPr="004C3021">
              <w:rPr>
                <w:lang w:val="en-GB"/>
              </w:rPr>
              <w:t>Code of Practice 201</w:t>
            </w:r>
            <w:r>
              <w:rPr>
                <w:lang w:val="en-GB"/>
              </w:rPr>
              <w:t xml:space="preserve">5. You will </w:t>
            </w:r>
            <w:r w:rsidRPr="004C3021">
              <w:rPr>
                <w:lang w:val="en-GB"/>
              </w:rPr>
              <w:t>gather relevant evidence as part of an assessment process from children</w:t>
            </w:r>
            <w:r>
              <w:rPr>
                <w:lang w:val="en-GB"/>
              </w:rPr>
              <w:t>/</w:t>
            </w:r>
            <w:r w:rsidRPr="004C3021">
              <w:rPr>
                <w:lang w:val="en-GB"/>
              </w:rPr>
              <w:t>young people</w:t>
            </w:r>
            <w:r>
              <w:rPr>
                <w:lang w:val="en-GB"/>
              </w:rPr>
              <w:t>/</w:t>
            </w:r>
            <w:r w:rsidRPr="004C3021">
              <w:rPr>
                <w:lang w:val="en-GB"/>
              </w:rPr>
              <w:t xml:space="preserve">their families, and agencies involved, to triage </w:t>
            </w:r>
            <w:r>
              <w:rPr>
                <w:lang w:val="en-GB"/>
              </w:rPr>
              <w:t>them</w:t>
            </w:r>
            <w:r w:rsidRPr="004C3021">
              <w:rPr>
                <w:lang w:val="en-GB"/>
              </w:rPr>
              <w:t xml:space="preserve"> to universal services if appropriate. </w:t>
            </w:r>
          </w:p>
          <w:p w14:paraId="3A0F77AF" w14:textId="77777777" w:rsidR="001962F7" w:rsidRPr="004C3021" w:rsidRDefault="001962F7" w:rsidP="001962F7">
            <w:pPr>
              <w:spacing w:line="276" w:lineRule="auto"/>
              <w:rPr>
                <w:lang w:val="en-GB"/>
              </w:rPr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16299E5C" w14:textId="458679D4" w:rsidR="004C3021" w:rsidRDefault="004C3021" w:rsidP="00613C59">
            <w:pPr>
              <w:numPr>
                <w:ilvl w:val="0"/>
                <w:numId w:val="9"/>
              </w:numPr>
              <w:spacing w:line="276" w:lineRule="auto"/>
            </w:pPr>
            <w:r>
              <w:t>L</w:t>
            </w:r>
            <w:r>
              <w:t>ead on the planning, development and implementation of Education, Health &amp; Care Plans</w:t>
            </w:r>
            <w:r>
              <w:t xml:space="preserve"> (EHCPs)</w:t>
            </w:r>
            <w:r>
              <w:t xml:space="preserve">, in line with national developments, guidelines and legislation and to lead on a phase of development between 0-25. </w:t>
            </w:r>
          </w:p>
          <w:p w14:paraId="55ACE3F2" w14:textId="0E92E1C6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>
              <w:t>anage</w:t>
            </w:r>
            <w:r>
              <w:t xml:space="preserve"> </w:t>
            </w:r>
            <w:r>
              <w:t xml:space="preserve">the day-to-day operational aspects of </w:t>
            </w:r>
            <w:r>
              <w:t>EHC</w:t>
            </w:r>
            <w:r>
              <w:t xml:space="preserve"> planning, and gathering evidence, facilitating meetings within person-</w:t>
            </w:r>
            <w:proofErr w:type="spellStart"/>
            <w:r>
              <w:t>centred</w:t>
            </w:r>
            <w:proofErr w:type="spellEnd"/>
            <w:r>
              <w:t xml:space="preserve"> guidelines with families, children and young people and presenting evidence to decision makers. </w:t>
            </w:r>
          </w:p>
          <w:p w14:paraId="5E4FDDA3" w14:textId="6A009D7E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C</w:t>
            </w:r>
            <w:r>
              <w:t xml:space="preserve">onvene and manage the assessment timescales that may be required in the development of an </w:t>
            </w:r>
            <w:r>
              <w:t xml:space="preserve">EHCP </w:t>
            </w:r>
            <w:r>
              <w:t>in requirements of the SEND Code of Practice 201</w:t>
            </w:r>
            <w:r>
              <w:t>5</w:t>
            </w:r>
            <w:r>
              <w:t xml:space="preserve"> </w:t>
            </w:r>
          </w:p>
          <w:p w14:paraId="4042183E" w14:textId="7ED76A05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C</w:t>
            </w:r>
            <w:r>
              <w:t xml:space="preserve">o-produce and draft a working document and subsequent plan with families’ outcomes-focused </w:t>
            </w:r>
            <w:r>
              <w:t>EHCPs</w:t>
            </w:r>
            <w:r>
              <w:t xml:space="preserve"> based upon accumulated evidence in line with appropriate legislation, Code of Practice and local policies and procedures.  </w:t>
            </w:r>
          </w:p>
          <w:p w14:paraId="445A84DD" w14:textId="3392118F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G</w:t>
            </w:r>
            <w:r>
              <w:t xml:space="preserve">uide and advise on aspects of Personal Budgets, presenting findings at multi-agency panels, if required. </w:t>
            </w:r>
          </w:p>
          <w:p w14:paraId="7D556FB9" w14:textId="40448F0B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>
              <w:t xml:space="preserve">anage, in collaboration with all relevant services delivery of a coordinated assessment and planning process; with a view to developing sustainable integration. </w:t>
            </w:r>
          </w:p>
          <w:p w14:paraId="0DD86A30" w14:textId="4892787C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>
              <w:t xml:space="preserve">ssess, review and support all educational settings with pupils with SEND. </w:t>
            </w:r>
          </w:p>
          <w:p w14:paraId="24CA54B7" w14:textId="7E341E44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Collaborate</w:t>
            </w:r>
            <w:r>
              <w:t xml:space="preserve"> with settings</w:t>
            </w:r>
            <w:r>
              <w:t>/</w:t>
            </w:r>
            <w:r>
              <w:t xml:space="preserve">multi-agency professionals to ensure seamless provision for Looked After Children. </w:t>
            </w:r>
          </w:p>
          <w:p w14:paraId="2D399462" w14:textId="3CE8BC5E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E</w:t>
            </w:r>
            <w:r>
              <w:t xml:space="preserve">ngage with the SEND reviewing process, as appropriate to the outcomes of the plan. </w:t>
            </w:r>
          </w:p>
          <w:p w14:paraId="3A4ADB0C" w14:textId="1E024DA5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>
              <w:t>ddress disputes</w:t>
            </w:r>
            <w:r>
              <w:t>/</w:t>
            </w:r>
            <w:r>
              <w:t xml:space="preserve">concerns with service users and contribute to the preparation of Statements of Case for Tribunal. </w:t>
            </w:r>
          </w:p>
          <w:p w14:paraId="3F38ED02" w14:textId="196A2500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P</w:t>
            </w:r>
            <w:r>
              <w:t xml:space="preserve">rovide advice to Settings on the requirements of the Equality Act with particular regard to pupils with SEND. </w:t>
            </w:r>
          </w:p>
          <w:p w14:paraId="19709DBF" w14:textId="01043BBD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>
              <w:t xml:space="preserve">ttend panel meetings on SEND provision as required. </w:t>
            </w:r>
          </w:p>
          <w:p w14:paraId="376940D6" w14:textId="07757890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>
              <w:t xml:space="preserve">rrange transport as appropriate and respond to any queries from parents/carers and schools on transport issues. </w:t>
            </w:r>
          </w:p>
          <w:p w14:paraId="366DCE78" w14:textId="5331EC8C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S</w:t>
            </w:r>
            <w:r>
              <w:t xml:space="preserve">ecure appropriate educational placements for children and young people with special educational needs </w:t>
            </w:r>
          </w:p>
          <w:p w14:paraId="79CF0577" w14:textId="01BA23F0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>R</w:t>
            </w:r>
            <w:r>
              <w:t xml:space="preserve">eport &amp; communicate effectively relevant information to the Divisional Manager on a regular basis, using a range of media and data monitoring systems. </w:t>
            </w:r>
          </w:p>
          <w:p w14:paraId="77552D82" w14:textId="77777777" w:rsidR="001962F7" w:rsidRDefault="004C3021" w:rsidP="001962F7">
            <w:pPr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>
              <w:t xml:space="preserve">ndertake any other duties and responsibilities that may be assigned from time to time, which are commensurate with the grade of the job role </w:t>
            </w:r>
          </w:p>
          <w:p w14:paraId="57BBA876" w14:textId="149F9889" w:rsidR="00AF496B" w:rsidRDefault="00AF496B" w:rsidP="00AF496B">
            <w:pPr>
              <w:spacing w:line="276" w:lineRule="auto"/>
              <w:ind w:left="720"/>
            </w:pPr>
          </w:p>
        </w:tc>
      </w:tr>
      <w:tr w:rsidR="00365C93" w14:paraId="052D3F24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4C3021">
        <w:trPr>
          <w:gridAfter w:val="2"/>
          <w:wAfter w:w="2402" w:type="dxa"/>
        </w:trPr>
        <w:tc>
          <w:tcPr>
            <w:tcW w:w="10206" w:type="dxa"/>
            <w:gridSpan w:val="2"/>
          </w:tcPr>
          <w:p w14:paraId="13FED51D" w14:textId="5677FF9D" w:rsidR="00924729" w:rsidRDefault="004C3021" w:rsidP="004C3021">
            <w:pPr>
              <w:spacing w:line="276" w:lineRule="auto"/>
            </w:pPr>
            <w:r>
              <w:t>You will hold a r</w:t>
            </w:r>
            <w:r>
              <w:t>elevant Qualifications in a related field, or experience that demonstrates an understanding of Special Educational Needs</w:t>
            </w:r>
            <w:r>
              <w:t>, as well as have e</w:t>
            </w:r>
            <w:r>
              <w:t xml:space="preserve">vidence of Continuing Professional Development 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148B2E66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engaging with children, young people and families with SEND and/or Learning Disabilities </w:t>
            </w:r>
          </w:p>
          <w:p w14:paraId="2C9E6243" w14:textId="457A4BEA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appropriate legislation </w:t>
            </w:r>
            <w:r>
              <w:t>i.e.</w:t>
            </w:r>
            <w:r>
              <w:t xml:space="preserve"> Children &amp; Families Act 2014, and the SEND Code of Practice 2015 </w:t>
            </w:r>
          </w:p>
          <w:p w14:paraId="6FF1FC5B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develop effective relationships &amp; inspire confidence </w:t>
            </w:r>
          </w:p>
          <w:p w14:paraId="788BD1FB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Successful experience of working  with other agencies </w:t>
            </w:r>
          </w:p>
          <w:p w14:paraId="6C5E30E4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work independently, manage caseload and work to timescale </w:t>
            </w:r>
          </w:p>
          <w:p w14:paraId="753247AA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Computer literacy and ability to work confidently with ICT </w:t>
            </w:r>
          </w:p>
          <w:p w14:paraId="789E8586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communicate well both orally and in writing &amp; to maintain appropriate records </w:t>
            </w:r>
          </w:p>
          <w:p w14:paraId="384025B7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be creative &amp; innovative in problem solving &amp; to work under pressure &amp; achieve deadlines </w:t>
            </w:r>
          </w:p>
          <w:p w14:paraId="41EC81E1" w14:textId="77777777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commitment to delivering improved life outcomes for children and young people with Special Educational </w:t>
            </w:r>
            <w:proofErr w:type="spellStart"/>
            <w:r>
              <w:t>neds</w:t>
            </w:r>
            <w:proofErr w:type="spellEnd"/>
            <w:r>
              <w:t xml:space="preserve"> and disabilities, and supporting them to achieve their potential </w:t>
            </w:r>
          </w:p>
          <w:p w14:paraId="6B703DA9" w14:textId="006A5811" w:rsidR="004C3021" w:rsidRDefault="004C3021" w:rsidP="004C302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personal commitment to the inclusion of pupils with SEN and </w:t>
            </w:r>
            <w:r>
              <w:t>promote</w:t>
            </w:r>
            <w:r>
              <w:t xml:space="preserve"> and support educational inclusion </w:t>
            </w:r>
          </w:p>
          <w:p w14:paraId="6A36225B" w14:textId="3B0AECC9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4C3021">
        <w:trPr>
          <w:gridAfter w:val="1"/>
          <w:wAfter w:w="157" w:type="dxa"/>
        </w:trPr>
        <w:tc>
          <w:tcPr>
            <w:tcW w:w="10206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4C3021">
        <w:tc>
          <w:tcPr>
            <w:tcW w:w="10206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C3021">
        <w:trPr>
          <w:gridAfter w:val="2"/>
          <w:wAfter w:w="2402" w:type="dxa"/>
          <w:trHeight w:val="333"/>
        </w:trPr>
        <w:tc>
          <w:tcPr>
            <w:tcW w:w="10206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AF496B">
      <w:pgSz w:w="12240" w:h="15840" w:code="1"/>
      <w:pgMar w:top="1440" w:right="1080" w:bottom="993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B11B9"/>
    <w:multiLevelType w:val="multilevel"/>
    <w:tmpl w:val="20B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C237A"/>
    <w:multiLevelType w:val="multilevel"/>
    <w:tmpl w:val="4F6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91EA8"/>
    <w:multiLevelType w:val="multilevel"/>
    <w:tmpl w:val="AF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1ED5E74"/>
    <w:multiLevelType w:val="multilevel"/>
    <w:tmpl w:val="C97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7"/>
  </w:num>
  <w:num w:numId="6" w16cid:durableId="854002118">
    <w:abstractNumId w:val="15"/>
  </w:num>
  <w:num w:numId="7" w16cid:durableId="9643203">
    <w:abstractNumId w:val="25"/>
  </w:num>
  <w:num w:numId="8" w16cid:durableId="2094618771">
    <w:abstractNumId w:val="20"/>
  </w:num>
  <w:num w:numId="9" w16cid:durableId="1866013986">
    <w:abstractNumId w:val="21"/>
  </w:num>
  <w:num w:numId="10" w16cid:durableId="948005912">
    <w:abstractNumId w:val="5"/>
  </w:num>
  <w:num w:numId="11" w16cid:durableId="1186291718">
    <w:abstractNumId w:val="2"/>
  </w:num>
  <w:num w:numId="12" w16cid:durableId="2114011035">
    <w:abstractNumId w:val="3"/>
  </w:num>
  <w:num w:numId="13" w16cid:durableId="889268224">
    <w:abstractNumId w:val="22"/>
  </w:num>
  <w:num w:numId="14" w16cid:durableId="1943221786">
    <w:abstractNumId w:val="18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4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9"/>
  </w:num>
  <w:num w:numId="22" w16cid:durableId="1128014861">
    <w:abstractNumId w:val="23"/>
  </w:num>
  <w:num w:numId="23" w16cid:durableId="444471535">
    <w:abstractNumId w:val="14"/>
  </w:num>
  <w:num w:numId="24" w16cid:durableId="1346206245">
    <w:abstractNumId w:val="12"/>
  </w:num>
  <w:num w:numId="25" w16cid:durableId="662727">
    <w:abstractNumId w:val="16"/>
  </w:num>
  <w:num w:numId="26" w16cid:durableId="548490221">
    <w:abstractNumId w:val="13"/>
  </w:num>
  <w:num w:numId="27" w16cid:durableId="33909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3021"/>
    <w:rsid w:val="004C6BA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E56C2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44C45"/>
    <w:rsid w:val="00966E71"/>
    <w:rsid w:val="00971691"/>
    <w:rsid w:val="00982CF7"/>
    <w:rsid w:val="0098361A"/>
    <w:rsid w:val="009B45BF"/>
    <w:rsid w:val="009D1074"/>
    <w:rsid w:val="009D4A90"/>
    <w:rsid w:val="00A27909"/>
    <w:rsid w:val="00A3304B"/>
    <w:rsid w:val="00A405BB"/>
    <w:rsid w:val="00A50F8D"/>
    <w:rsid w:val="00A57756"/>
    <w:rsid w:val="00AC7DE3"/>
    <w:rsid w:val="00AE230E"/>
    <w:rsid w:val="00AF496B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12AF"/>
    <w:rsid w:val="00DC65EE"/>
    <w:rsid w:val="00DC6AB5"/>
    <w:rsid w:val="00E14925"/>
    <w:rsid w:val="00E26A54"/>
    <w:rsid w:val="00E301C7"/>
    <w:rsid w:val="00E4076D"/>
    <w:rsid w:val="00E7121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Catherine Harrison</cp:lastModifiedBy>
  <cp:revision>2</cp:revision>
  <dcterms:created xsi:type="dcterms:W3CDTF">2025-06-27T09:26:00Z</dcterms:created>
  <dcterms:modified xsi:type="dcterms:W3CDTF">2025-06-27T09:26:00Z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