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2DB659D"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B7827">
              <w:rPr>
                <w:b/>
                <w:bCs/>
                <w:sz w:val="40"/>
                <w:szCs w:val="40"/>
              </w:rPr>
              <w:t>CLEANER</w:t>
            </w:r>
          </w:p>
          <w:p w14:paraId="3A2B85FA" w14:textId="0A84F7F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3C4357">
        <w:trPr>
          <w:gridAfter w:val="2"/>
          <w:wAfter w:w="3117" w:type="dxa"/>
        </w:trPr>
        <w:tc>
          <w:tcPr>
            <w:tcW w:w="9350" w:type="dxa"/>
            <w:gridSpan w:val="2"/>
          </w:tcPr>
          <w:p w14:paraId="2650C951" w14:textId="03BE24B0" w:rsidR="004F51BA" w:rsidRPr="004F51BA" w:rsidRDefault="00645407" w:rsidP="004F51BA">
            <w:pPr>
              <w:pStyle w:val="ListParagraph"/>
              <w:rPr>
                <w:rFonts w:asciiTheme="majorHAnsi" w:hAnsiTheme="majorHAnsi" w:cs="Arial"/>
                <w:bCs/>
                <w:iCs/>
                <w:szCs w:val="20"/>
              </w:rPr>
            </w:pPr>
            <w:r w:rsidRPr="004F51BA">
              <w:rPr>
                <w:rFonts w:asciiTheme="majorHAnsi" w:hAnsiTheme="majorHAnsi" w:cs="Arial"/>
                <w:bCs/>
                <w:iCs/>
                <w:szCs w:val="20"/>
              </w:rPr>
              <w:t xml:space="preserve">The post is for a Cleaner </w:t>
            </w:r>
            <w:r w:rsidR="0037663C">
              <w:rPr>
                <w:rFonts w:asciiTheme="majorHAnsi" w:hAnsiTheme="majorHAnsi" w:cs="Arial"/>
                <w:bCs/>
                <w:iCs/>
                <w:szCs w:val="20"/>
              </w:rPr>
              <w:t>Building to</w:t>
            </w:r>
            <w:r w:rsidRPr="004F51BA">
              <w:rPr>
                <w:rFonts w:asciiTheme="majorHAnsi" w:hAnsiTheme="majorHAnsi" w:cs="Arial"/>
                <w:bCs/>
                <w:iCs/>
                <w:szCs w:val="20"/>
              </w:rPr>
              <w:t xml:space="preserve"> carry out cleaning of the public areas and office areas ensuring they are cleaned to a high standard each day. Training will be provided as well as uniform and safety footwear</w:t>
            </w:r>
            <w:r w:rsidR="009F634A" w:rsidRPr="004F51BA">
              <w:rPr>
                <w:rFonts w:asciiTheme="majorHAnsi" w:hAnsiTheme="majorHAnsi" w:cs="Arial"/>
                <w:bCs/>
                <w:iCs/>
                <w:szCs w:val="20"/>
              </w:rPr>
              <w:t xml:space="preserve"> </w:t>
            </w:r>
            <w:r w:rsidRPr="004F51BA">
              <w:rPr>
                <w:rFonts w:asciiTheme="majorHAnsi" w:hAnsiTheme="majorHAnsi" w:cs="Arial"/>
                <w:bCs/>
                <w:iCs/>
                <w:szCs w:val="20"/>
              </w:rPr>
              <w:t xml:space="preserve">You will be expected to use Halton Borough Council’s time recording system to </w:t>
            </w:r>
            <w:r w:rsidR="004748E5" w:rsidRPr="004F51BA">
              <w:rPr>
                <w:rFonts w:asciiTheme="majorHAnsi" w:hAnsiTheme="majorHAnsi" w:cs="Arial"/>
                <w:bCs/>
                <w:iCs/>
                <w:szCs w:val="20"/>
              </w:rPr>
              <w:t xml:space="preserve">log in on arrival and out on departure. </w:t>
            </w:r>
          </w:p>
          <w:p w14:paraId="57E24F84" w14:textId="77777777" w:rsidR="004F51BA" w:rsidRPr="004F51BA" w:rsidRDefault="004F51BA" w:rsidP="004F51BA">
            <w:pPr>
              <w:pStyle w:val="ListParagraph"/>
              <w:rPr>
                <w:rFonts w:asciiTheme="majorHAnsi" w:hAnsiTheme="majorHAnsi" w:cs="Arial"/>
                <w:bCs/>
                <w:iCs/>
                <w:szCs w:val="20"/>
              </w:rPr>
            </w:pPr>
          </w:p>
          <w:p w14:paraId="295D648C" w14:textId="43034FD1" w:rsidR="004F51BA" w:rsidRPr="004F51BA" w:rsidRDefault="004F51BA" w:rsidP="004F51BA">
            <w:pPr>
              <w:rPr>
                <w:rFonts w:asciiTheme="majorHAnsi" w:hAnsiTheme="majorHAnsi" w:cs="Arial"/>
                <w:bCs/>
                <w:iCs/>
                <w:szCs w:val="20"/>
              </w:rPr>
            </w:pPr>
            <w:r w:rsidRPr="004F51BA">
              <w:rPr>
                <w:rFonts w:asciiTheme="majorHAnsi" w:hAnsiTheme="majorHAnsi" w:cs="Arial"/>
                <w:bCs/>
                <w:iCs/>
                <w:szCs w:val="20"/>
              </w:rPr>
              <w:t xml:space="preserve"> </w:t>
            </w:r>
            <w:r>
              <w:t>More specific responsibilities include:</w:t>
            </w:r>
          </w:p>
          <w:p w14:paraId="459C94BC" w14:textId="77777777" w:rsidR="00F628F9" w:rsidRPr="002311A9" w:rsidRDefault="00F628F9" w:rsidP="00645407">
            <w:pPr>
              <w:rPr>
                <w:rFonts w:asciiTheme="majorHAnsi" w:hAnsiTheme="majorHAnsi" w:cs="Arial"/>
                <w:b/>
                <w:i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5"/>
            </w:tblGrid>
            <w:tr w:rsidR="00F628F9" w:rsidRPr="002311A9" w14:paraId="601B49C0" w14:textId="77777777" w:rsidTr="00CF0C6E">
              <w:tc>
                <w:tcPr>
                  <w:tcW w:w="8555" w:type="dxa"/>
                </w:tcPr>
                <w:p w14:paraId="3DA264B9"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Provide a good standard of cleaning to all buildings working within health &amp; safety guidelines and meeting current legislation.</w:t>
                  </w:r>
                </w:p>
                <w:p w14:paraId="19FED418" w14:textId="77777777" w:rsidR="00F628F9" w:rsidRPr="002311A9" w:rsidRDefault="00F628F9" w:rsidP="00F628F9">
                  <w:pPr>
                    <w:rPr>
                      <w:rFonts w:asciiTheme="majorHAnsi" w:hAnsiTheme="majorHAnsi" w:cs="Arial"/>
                      <w:szCs w:val="20"/>
                    </w:rPr>
                  </w:pPr>
                </w:p>
              </w:tc>
            </w:tr>
            <w:tr w:rsidR="00F628F9" w:rsidRPr="002311A9" w14:paraId="62EFEB23" w14:textId="77777777" w:rsidTr="002311A9">
              <w:tc>
                <w:tcPr>
                  <w:tcW w:w="8555" w:type="dxa"/>
                </w:tcPr>
                <w:p w14:paraId="3921DB89" w14:textId="22ED895E" w:rsidR="00F628F9" w:rsidRPr="002311A9" w:rsidRDefault="00F628F9" w:rsidP="004F51BA">
                  <w:pPr>
                    <w:pStyle w:val="ListParagraph"/>
                    <w:numPr>
                      <w:ilvl w:val="0"/>
                      <w:numId w:val="24"/>
                    </w:numPr>
                    <w:rPr>
                      <w:rFonts w:asciiTheme="majorHAnsi" w:hAnsiTheme="majorHAnsi" w:cs="Arial"/>
                      <w:szCs w:val="20"/>
                    </w:rPr>
                  </w:pPr>
                  <w:r w:rsidRPr="003C4357">
                    <w:rPr>
                      <w:rFonts w:asciiTheme="majorHAnsi" w:hAnsiTheme="majorHAnsi" w:cs="Arial"/>
                      <w:szCs w:val="20"/>
                    </w:rPr>
                    <w:t>Complete on a daily basis, all duties including Job Card using specific floor plans.</w:t>
                  </w:r>
                </w:p>
              </w:tc>
            </w:tr>
            <w:tr w:rsidR="00F628F9" w:rsidRPr="002311A9" w14:paraId="68A7EFD8" w14:textId="77777777" w:rsidTr="00CF0C6E">
              <w:trPr>
                <w:trHeight w:val="275"/>
              </w:trPr>
              <w:tc>
                <w:tcPr>
                  <w:tcW w:w="8555" w:type="dxa"/>
                </w:tcPr>
                <w:p w14:paraId="291C8BC9" w14:textId="77777777" w:rsidR="00F628F9"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lastRenderedPageBreak/>
                    <w:t>Wear, at all times, appropriate uniforms and other PPE as supplied in accordance with health &amp; safety legislation.</w:t>
                  </w:r>
                </w:p>
                <w:p w14:paraId="61F4438B" w14:textId="77777777" w:rsidR="00EA0AD6" w:rsidRDefault="00EA0AD6" w:rsidP="00EA0AD6">
                  <w:pPr>
                    <w:pStyle w:val="ListParagraph"/>
                    <w:rPr>
                      <w:rFonts w:asciiTheme="majorHAnsi" w:hAnsiTheme="majorHAnsi" w:cs="Arial"/>
                      <w:szCs w:val="20"/>
                    </w:rPr>
                  </w:pPr>
                </w:p>
                <w:p w14:paraId="61EB2B64" w14:textId="12076AAB" w:rsidR="00EA0AD6" w:rsidRPr="003C4357" w:rsidRDefault="00EA0AD6" w:rsidP="003C4357">
                  <w:pPr>
                    <w:pStyle w:val="ListParagraph"/>
                    <w:numPr>
                      <w:ilvl w:val="0"/>
                      <w:numId w:val="24"/>
                    </w:numPr>
                    <w:rPr>
                      <w:rFonts w:asciiTheme="majorHAnsi" w:hAnsiTheme="majorHAnsi" w:cs="Arial"/>
                      <w:szCs w:val="20"/>
                    </w:rPr>
                  </w:pPr>
                  <w:r>
                    <w:rPr>
                      <w:rFonts w:asciiTheme="majorHAnsi" w:hAnsiTheme="majorHAnsi" w:cs="Arial"/>
                      <w:szCs w:val="20"/>
                    </w:rPr>
                    <w:t>Undertake any training required to provide a safe service</w:t>
                  </w:r>
                </w:p>
                <w:p w14:paraId="472B7157" w14:textId="77777777" w:rsidR="00F628F9" w:rsidRPr="002311A9" w:rsidRDefault="00F628F9" w:rsidP="00F628F9">
                  <w:pPr>
                    <w:rPr>
                      <w:rFonts w:asciiTheme="majorHAnsi" w:hAnsiTheme="majorHAnsi" w:cs="Arial"/>
                      <w:szCs w:val="20"/>
                    </w:rPr>
                  </w:pPr>
                </w:p>
              </w:tc>
            </w:tr>
            <w:tr w:rsidR="00F628F9" w:rsidRPr="002311A9" w14:paraId="422A2D9B" w14:textId="77777777" w:rsidTr="00CF0C6E">
              <w:tc>
                <w:tcPr>
                  <w:tcW w:w="8555" w:type="dxa"/>
                </w:tcPr>
                <w:p w14:paraId="6566BED0"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Take care of corporate assets, bringing any defects to the attention of the line manager.</w:t>
                  </w:r>
                </w:p>
                <w:p w14:paraId="31B32F4B" w14:textId="77777777" w:rsidR="00F628F9" w:rsidRPr="002311A9" w:rsidRDefault="00F628F9" w:rsidP="00F628F9">
                  <w:pPr>
                    <w:rPr>
                      <w:rFonts w:asciiTheme="majorHAnsi" w:hAnsiTheme="majorHAnsi" w:cs="Arial"/>
                      <w:szCs w:val="20"/>
                    </w:rPr>
                  </w:pPr>
                </w:p>
              </w:tc>
            </w:tr>
            <w:tr w:rsidR="00F628F9" w:rsidRPr="002311A9" w14:paraId="6505F78F" w14:textId="77777777" w:rsidTr="003C4357">
              <w:tc>
                <w:tcPr>
                  <w:tcW w:w="8555" w:type="dxa"/>
                </w:tcPr>
                <w:p w14:paraId="67247995"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Responsibility for completion of personal timesheet ensuring it arrives timely into the office on a monthly basis.</w:t>
                  </w:r>
                </w:p>
                <w:p w14:paraId="7D594701" w14:textId="77777777" w:rsidR="00F628F9" w:rsidRPr="002311A9" w:rsidRDefault="00F628F9" w:rsidP="00F628F9">
                  <w:pPr>
                    <w:rPr>
                      <w:rFonts w:asciiTheme="majorHAnsi" w:hAnsiTheme="majorHAnsi" w:cs="Arial"/>
                      <w:szCs w:val="20"/>
                    </w:rPr>
                  </w:pPr>
                </w:p>
              </w:tc>
            </w:tr>
            <w:tr w:rsidR="00F628F9" w:rsidRPr="002311A9" w14:paraId="50A6B58B" w14:textId="77777777" w:rsidTr="00CF0C6E">
              <w:tc>
                <w:tcPr>
                  <w:tcW w:w="8555" w:type="dxa"/>
                </w:tcPr>
                <w:p w14:paraId="30F70F14"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Ensure good housekeeping, keeping cleaning stores clean and tidy ensuring implements stored correctly.</w:t>
                  </w:r>
                </w:p>
                <w:p w14:paraId="110A3BD9" w14:textId="77777777" w:rsidR="00F628F9" w:rsidRPr="002311A9" w:rsidRDefault="00F628F9" w:rsidP="00F628F9">
                  <w:pPr>
                    <w:rPr>
                      <w:rFonts w:asciiTheme="majorHAnsi" w:hAnsiTheme="majorHAnsi" w:cs="Arial"/>
                      <w:b/>
                      <w:szCs w:val="20"/>
                    </w:rPr>
                  </w:pPr>
                </w:p>
              </w:tc>
            </w:tr>
            <w:tr w:rsidR="00F628F9" w:rsidRPr="002311A9" w14:paraId="28E4BEAC" w14:textId="77777777" w:rsidTr="003C4357">
              <w:tc>
                <w:tcPr>
                  <w:tcW w:w="8555" w:type="dxa"/>
                </w:tcPr>
                <w:p w14:paraId="268F7ACD"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Be vigilant and report any potential risks within your work area to your line manager preventing unnecessary incidents.</w:t>
                  </w:r>
                </w:p>
                <w:p w14:paraId="6966D420" w14:textId="77777777" w:rsidR="00F628F9" w:rsidRPr="002311A9" w:rsidRDefault="00F628F9" w:rsidP="00F628F9">
                  <w:pPr>
                    <w:rPr>
                      <w:rFonts w:asciiTheme="majorHAnsi" w:hAnsiTheme="majorHAnsi" w:cs="Arial"/>
                      <w:szCs w:val="20"/>
                    </w:rPr>
                  </w:pPr>
                </w:p>
              </w:tc>
            </w:tr>
            <w:tr w:rsidR="00F628F9" w:rsidRPr="002311A9" w14:paraId="2D7B2C4F" w14:textId="77777777" w:rsidTr="00CF0C6E">
              <w:tc>
                <w:tcPr>
                  <w:tcW w:w="8555" w:type="dxa"/>
                </w:tcPr>
                <w:p w14:paraId="6A73874D"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Cleaning tasks may include any of the following for which training will be given: vacuuming, mopping, damp wiping, toilet/urinal cleaning, wall washing, carpet cleaning, stripping and polishing floors.</w:t>
                  </w:r>
                </w:p>
                <w:p w14:paraId="6D1A855D" w14:textId="77777777" w:rsidR="00F628F9" w:rsidRPr="002311A9" w:rsidRDefault="00F628F9" w:rsidP="00F628F9">
                  <w:pPr>
                    <w:rPr>
                      <w:rFonts w:asciiTheme="majorHAnsi" w:hAnsiTheme="majorHAnsi" w:cs="Arial"/>
                      <w:szCs w:val="20"/>
                    </w:rPr>
                  </w:pPr>
                </w:p>
              </w:tc>
            </w:tr>
            <w:tr w:rsidR="00F628F9" w:rsidRPr="002311A9" w14:paraId="50E21A78" w14:textId="77777777" w:rsidTr="003C4357">
              <w:tc>
                <w:tcPr>
                  <w:tcW w:w="8555" w:type="dxa"/>
                </w:tcPr>
                <w:p w14:paraId="695F9F59"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Follow audit requirements, Sign attendance book correctly or use the council time recording system, increase productivity by arriving into the work area on time and leaving after fulfilling the contractual hours.</w:t>
                  </w:r>
                </w:p>
                <w:p w14:paraId="14711292" w14:textId="77777777" w:rsidR="00F628F9" w:rsidRPr="002311A9" w:rsidRDefault="00F628F9" w:rsidP="00F628F9">
                  <w:pPr>
                    <w:rPr>
                      <w:rFonts w:asciiTheme="majorHAnsi" w:hAnsiTheme="majorHAnsi" w:cs="Arial"/>
                      <w:szCs w:val="20"/>
                    </w:rPr>
                  </w:pPr>
                </w:p>
              </w:tc>
            </w:tr>
            <w:tr w:rsidR="00F628F9" w:rsidRPr="002311A9" w14:paraId="3722093B" w14:textId="77777777" w:rsidTr="00CF0C6E">
              <w:tc>
                <w:tcPr>
                  <w:tcW w:w="8555" w:type="dxa"/>
                </w:tcPr>
                <w:p w14:paraId="0D1E469D"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The Council is committed to safeguarding and promoting the welfare of children and young people and vulnerable adults and expects all staff to share this commitment.</w:t>
                  </w:r>
                </w:p>
                <w:p w14:paraId="5D87A06B" w14:textId="77777777" w:rsidR="00F628F9" w:rsidRPr="002311A9" w:rsidRDefault="00F628F9" w:rsidP="00F628F9">
                  <w:pPr>
                    <w:rPr>
                      <w:rFonts w:asciiTheme="majorHAnsi" w:hAnsiTheme="majorHAnsi" w:cs="Arial"/>
                      <w:szCs w:val="20"/>
                    </w:rPr>
                  </w:pPr>
                </w:p>
              </w:tc>
            </w:tr>
            <w:tr w:rsidR="00F628F9" w:rsidRPr="002311A9" w14:paraId="5EE6BACB" w14:textId="77777777" w:rsidTr="003C4357">
              <w:tc>
                <w:tcPr>
                  <w:tcW w:w="8555" w:type="dxa"/>
                </w:tcPr>
                <w:p w14:paraId="2FC8E68A"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Undertake any other duties and responsibilities as may be assigned from time to time by the cleaning supervisors and Lead office Cleaning Services which are commensurate with the grade of the job.</w:t>
                  </w:r>
                </w:p>
                <w:p w14:paraId="49410842" w14:textId="77777777" w:rsidR="00F628F9" w:rsidRPr="002311A9" w:rsidRDefault="00F628F9" w:rsidP="00F628F9">
                  <w:pPr>
                    <w:rPr>
                      <w:rFonts w:asciiTheme="majorHAnsi" w:hAnsiTheme="majorHAnsi" w:cs="Arial"/>
                      <w:szCs w:val="20"/>
                    </w:rPr>
                  </w:pPr>
                </w:p>
              </w:tc>
            </w:tr>
            <w:tr w:rsidR="00F628F9" w:rsidRPr="002311A9" w14:paraId="0A4ADC5C" w14:textId="77777777" w:rsidTr="00CF0C6E">
              <w:tc>
                <w:tcPr>
                  <w:tcW w:w="8555" w:type="dxa"/>
                  <w:shd w:val="clear" w:color="auto" w:fill="FFFFFF" w:themeFill="background1"/>
                </w:tcPr>
                <w:p w14:paraId="5498F063" w14:textId="77777777" w:rsidR="00F628F9" w:rsidRPr="003C4357" w:rsidRDefault="00F628F9" w:rsidP="003C4357">
                  <w:pPr>
                    <w:pStyle w:val="ListParagraph"/>
                    <w:numPr>
                      <w:ilvl w:val="0"/>
                      <w:numId w:val="24"/>
                    </w:numPr>
                    <w:rPr>
                      <w:rFonts w:asciiTheme="majorHAnsi" w:hAnsiTheme="majorHAnsi" w:cs="Arial"/>
                      <w:szCs w:val="20"/>
                    </w:rPr>
                  </w:pPr>
                  <w:r w:rsidRPr="003C4357">
                    <w:rPr>
                      <w:rFonts w:asciiTheme="majorHAnsi" w:hAnsiTheme="majorHAnsi" w:cs="Arial"/>
                      <w:szCs w:val="20"/>
                    </w:rPr>
                    <w:t>Undertake any other duties and responsibilities as may be assigned from time to time, which are commensurate with the grade of the job.</w:t>
                  </w:r>
                </w:p>
              </w:tc>
            </w:tr>
          </w:tbl>
          <w:p w14:paraId="74F47974" w14:textId="77777777" w:rsidR="00F628F9" w:rsidRPr="002311A9" w:rsidRDefault="00F628F9" w:rsidP="00F628F9">
            <w:pPr>
              <w:rPr>
                <w:rFonts w:asciiTheme="majorHAnsi" w:hAnsiTheme="majorHAnsi"/>
                <w:szCs w:val="20"/>
              </w:rPr>
            </w:pPr>
          </w:p>
          <w:p w14:paraId="6DDA5B2C" w14:textId="77777777" w:rsidR="00645407" w:rsidRPr="002311A9" w:rsidRDefault="00645407" w:rsidP="00645407">
            <w:pPr>
              <w:rPr>
                <w:rFonts w:asciiTheme="majorHAnsi" w:hAnsiTheme="majorHAnsi" w:cs="Arial"/>
                <w:b/>
                <w:i/>
                <w:szCs w:val="20"/>
              </w:rPr>
            </w:pPr>
          </w:p>
          <w:p w14:paraId="57BBA876" w14:textId="6CF2A1D3" w:rsidR="003329C7" w:rsidRPr="002311A9" w:rsidRDefault="003329C7" w:rsidP="00F628F9">
            <w:pPr>
              <w:spacing w:line="276" w:lineRule="auto"/>
              <w:rPr>
                <w:rFonts w:asciiTheme="majorHAnsi" w:hAnsiTheme="majorHAnsi"/>
                <w:szCs w:val="20"/>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018552BE" w14:textId="77777777" w:rsidR="00365C93" w:rsidRPr="009F634A" w:rsidRDefault="00464888" w:rsidP="00395C1F">
            <w:pPr>
              <w:pStyle w:val="Heading1"/>
              <w:spacing w:line="360" w:lineRule="auto"/>
              <w:rPr>
                <w:sz w:val="20"/>
                <w:szCs w:val="20"/>
              </w:rPr>
            </w:pPr>
            <w:r w:rsidRPr="009F634A">
              <w:rPr>
                <w:sz w:val="20"/>
                <w:szCs w:val="20"/>
              </w:rPr>
              <w:lastRenderedPageBreak/>
              <w:t>About You</w:t>
            </w:r>
          </w:p>
          <w:p w14:paraId="45270666" w14:textId="73574AC4" w:rsidR="00F732D4" w:rsidRPr="009F634A" w:rsidRDefault="00F628F9" w:rsidP="00F732D4">
            <w:pPr>
              <w:rPr>
                <w:rFonts w:asciiTheme="majorHAnsi" w:hAnsiTheme="majorHAnsi"/>
                <w:szCs w:val="20"/>
              </w:rPr>
            </w:pPr>
            <w:r w:rsidRPr="00F732D4">
              <w:rPr>
                <w:rFonts w:asciiTheme="majorHAnsi" w:hAnsiTheme="majorHAnsi" w:cs="Arial"/>
                <w:bCs/>
                <w:iCs/>
                <w:szCs w:val="20"/>
              </w:rPr>
              <w:t xml:space="preserve">You </w:t>
            </w:r>
            <w:r w:rsidR="00F732D4" w:rsidRPr="00F732D4">
              <w:rPr>
                <w:rFonts w:asciiTheme="majorHAnsi" w:hAnsiTheme="majorHAnsi" w:cs="Arial"/>
                <w:bCs/>
                <w:iCs/>
                <w:szCs w:val="20"/>
              </w:rPr>
              <w:t>will</w:t>
            </w:r>
            <w:r w:rsidRPr="00F732D4">
              <w:rPr>
                <w:rFonts w:asciiTheme="majorHAnsi" w:hAnsiTheme="majorHAnsi" w:cs="Arial"/>
                <w:bCs/>
                <w:iCs/>
                <w:szCs w:val="20"/>
              </w:rPr>
              <w:t xml:space="preserve"> be a good timekeeper and be able to work the full contracted hours each day,</w:t>
            </w:r>
            <w:r w:rsidR="005F5E2A">
              <w:t xml:space="preserve"> A good communicator you will be </w:t>
            </w:r>
            <w:r w:rsidRPr="00F732D4">
              <w:rPr>
                <w:rFonts w:asciiTheme="majorHAnsi" w:hAnsiTheme="majorHAnsi" w:cs="Arial"/>
                <w:bCs/>
                <w:iCs/>
                <w:szCs w:val="20"/>
              </w:rPr>
              <w:t xml:space="preserve"> able to work as part of the team and to work under your own initiative.</w:t>
            </w:r>
          </w:p>
        </w:tc>
      </w:tr>
      <w:tr w:rsidR="00464888" w14:paraId="17CD1997" w14:textId="77777777" w:rsidTr="007D6326">
        <w:trPr>
          <w:gridAfter w:val="2"/>
          <w:wAfter w:w="3117" w:type="dxa"/>
        </w:trPr>
        <w:tc>
          <w:tcPr>
            <w:tcW w:w="9350" w:type="dxa"/>
            <w:gridSpan w:val="2"/>
          </w:tcPr>
          <w:p w14:paraId="13FED51D" w14:textId="46B8BEFF" w:rsidR="00924729" w:rsidRDefault="00924729" w:rsidP="00FE52AB">
            <w:pPr>
              <w:spacing w:line="276" w:lineRule="auto"/>
            </w:pPr>
          </w:p>
          <w:p w14:paraId="77B47622" w14:textId="310773FC" w:rsidR="008A28B5" w:rsidRDefault="008A28B5" w:rsidP="00FE52AB">
            <w:pPr>
              <w:spacing w:line="276" w:lineRule="auto"/>
            </w:pPr>
            <w:r>
              <w:t xml:space="preserve">In addition </w:t>
            </w:r>
            <w:r w:rsidR="00213E7B">
              <w:t>you</w:t>
            </w:r>
            <w:r>
              <w:t xml:space="preserve"> will have:</w:t>
            </w:r>
            <w:r w:rsidR="00F72966">
              <w:t xml:space="preserve"> </w:t>
            </w:r>
          </w:p>
          <w:p w14:paraId="0150C1E9" w14:textId="1F90944A" w:rsidR="008A28B5" w:rsidRPr="00F72966" w:rsidRDefault="00F732D4" w:rsidP="00181676">
            <w:pPr>
              <w:numPr>
                <w:ilvl w:val="0"/>
                <w:numId w:val="9"/>
              </w:numPr>
              <w:spacing w:line="276" w:lineRule="auto"/>
              <w:rPr>
                <w:rFonts w:asciiTheme="majorHAnsi" w:hAnsiTheme="majorHAnsi"/>
                <w:szCs w:val="20"/>
              </w:rPr>
            </w:pPr>
            <w:r w:rsidRPr="00F72966">
              <w:rPr>
                <w:rFonts w:asciiTheme="majorHAnsi" w:hAnsiTheme="majorHAnsi" w:cs="Arial"/>
                <w:szCs w:val="20"/>
              </w:rPr>
              <w:t>Experience of having worked as a cleaning operative</w:t>
            </w:r>
          </w:p>
          <w:p w14:paraId="63598306" w14:textId="77777777" w:rsidR="00F732D4" w:rsidRPr="00F72966" w:rsidRDefault="00F732D4" w:rsidP="00F732D4">
            <w:pPr>
              <w:pStyle w:val="ListParagraph"/>
              <w:numPr>
                <w:ilvl w:val="0"/>
                <w:numId w:val="9"/>
              </w:numPr>
              <w:rPr>
                <w:rFonts w:asciiTheme="majorHAnsi" w:hAnsiTheme="majorHAnsi" w:cs="Arial"/>
                <w:szCs w:val="20"/>
              </w:rPr>
            </w:pPr>
            <w:r w:rsidRPr="00F72966">
              <w:rPr>
                <w:rFonts w:asciiTheme="majorHAnsi" w:hAnsiTheme="majorHAnsi" w:cs="Arial"/>
                <w:szCs w:val="20"/>
              </w:rPr>
              <w:t>Willingness to work overtime when required.</w:t>
            </w:r>
          </w:p>
          <w:p w14:paraId="54823701" w14:textId="6AD86081" w:rsidR="00F732D4" w:rsidRPr="00F72966" w:rsidRDefault="00F732D4" w:rsidP="00F732D4">
            <w:pPr>
              <w:pStyle w:val="ListParagraph"/>
              <w:numPr>
                <w:ilvl w:val="0"/>
                <w:numId w:val="9"/>
              </w:numPr>
              <w:spacing w:after="160" w:line="259" w:lineRule="auto"/>
              <w:rPr>
                <w:rFonts w:asciiTheme="majorHAnsi" w:eastAsia="Calibri" w:hAnsiTheme="majorHAnsi" w:cs="Arial"/>
                <w:szCs w:val="20"/>
                <w:lang w:val="en-GB"/>
              </w:rPr>
            </w:pPr>
            <w:r w:rsidRPr="00F72966">
              <w:rPr>
                <w:rFonts w:asciiTheme="majorHAnsi" w:eastAsia="Calibri" w:hAnsiTheme="majorHAnsi" w:cs="Arial"/>
                <w:szCs w:val="20"/>
                <w:lang w:val="en-GB"/>
              </w:rPr>
              <w:t>Willing</w:t>
            </w:r>
            <w:r w:rsidR="00F72966">
              <w:rPr>
                <w:rFonts w:asciiTheme="majorHAnsi" w:eastAsia="Calibri" w:hAnsiTheme="majorHAnsi" w:cs="Arial"/>
                <w:szCs w:val="20"/>
                <w:lang w:val="en-GB"/>
              </w:rPr>
              <w:t>ness</w:t>
            </w:r>
            <w:r w:rsidRPr="00F72966">
              <w:rPr>
                <w:rFonts w:asciiTheme="majorHAnsi" w:eastAsia="Calibri" w:hAnsiTheme="majorHAnsi" w:cs="Arial"/>
                <w:szCs w:val="20"/>
                <w:lang w:val="en-GB"/>
              </w:rPr>
              <w:t xml:space="preserve"> to take on any duties that are reasonably requested by management/site manager.</w:t>
            </w:r>
          </w:p>
          <w:p w14:paraId="74A2ABEF" w14:textId="3AC01891" w:rsidR="00EC745A" w:rsidRDefault="00032774" w:rsidP="00165F31">
            <w:pPr>
              <w:pStyle w:val="ListParagraph"/>
              <w:numPr>
                <w:ilvl w:val="0"/>
                <w:numId w:val="9"/>
              </w:numPr>
              <w:spacing w:after="160" w:line="276" w:lineRule="auto"/>
            </w:pPr>
            <w:r w:rsidRPr="00F72966">
              <w:rPr>
                <w:rFonts w:asciiTheme="majorHAnsi" w:hAnsiTheme="majorHAnsi" w:cs="Arial"/>
                <w:szCs w:val="20"/>
              </w:rPr>
              <w:t>Willin</w:t>
            </w:r>
            <w:r>
              <w:rPr>
                <w:rFonts w:asciiTheme="majorHAnsi" w:hAnsiTheme="majorHAnsi" w:cs="Arial"/>
                <w:szCs w:val="20"/>
              </w:rPr>
              <w:t>gness</w:t>
            </w:r>
            <w:r w:rsidR="00F732D4" w:rsidRPr="00F72966">
              <w:rPr>
                <w:rFonts w:asciiTheme="majorHAnsi" w:hAnsiTheme="majorHAnsi" w:cs="Arial"/>
                <w:szCs w:val="20"/>
              </w:rPr>
              <w:t xml:space="preserve"> to partake in training</w:t>
            </w:r>
            <w:r w:rsidR="00F732D4" w:rsidRPr="00F732D4">
              <w:rPr>
                <w:rFonts w:ascii="Arial" w:hAnsi="Arial" w:cs="Arial"/>
              </w:rPr>
              <w:t>.</w:t>
            </w: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8B4A" w14:textId="77777777" w:rsidR="005F2387" w:rsidRDefault="005F2387" w:rsidP="00BC73FC">
      <w:r>
        <w:separator/>
      </w:r>
    </w:p>
  </w:endnote>
  <w:endnote w:type="continuationSeparator" w:id="0">
    <w:p w14:paraId="17BE5F61" w14:textId="77777777" w:rsidR="005F2387" w:rsidRDefault="005F2387" w:rsidP="00BC73FC">
      <w:r>
        <w:continuationSeparator/>
      </w:r>
    </w:p>
  </w:endnote>
  <w:endnote w:type="continuationNotice" w:id="1">
    <w:p w14:paraId="0F79CDB3" w14:textId="77777777" w:rsidR="005F2387" w:rsidRDefault="005F2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154C" w14:textId="77777777" w:rsidR="005F2387" w:rsidRDefault="005F2387" w:rsidP="00BC73FC">
      <w:r>
        <w:separator/>
      </w:r>
    </w:p>
  </w:footnote>
  <w:footnote w:type="continuationSeparator" w:id="0">
    <w:p w14:paraId="71E2E52A" w14:textId="77777777" w:rsidR="005F2387" w:rsidRDefault="005F2387" w:rsidP="00BC73FC">
      <w:r>
        <w:continuationSeparator/>
      </w:r>
    </w:p>
  </w:footnote>
  <w:footnote w:type="continuationNotice" w:id="1">
    <w:p w14:paraId="15C78012" w14:textId="77777777" w:rsidR="005F2387" w:rsidRDefault="005F23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349FB"/>
    <w:multiLevelType w:val="hybridMultilevel"/>
    <w:tmpl w:val="D5B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1CD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5"/>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4"/>
  </w:num>
  <w:num w:numId="17" w16cid:durableId="1190876401">
    <w:abstractNumId w:val="9"/>
  </w:num>
  <w:num w:numId="18" w16cid:durableId="1516726489">
    <w:abstractNumId w:val="21"/>
  </w:num>
  <w:num w:numId="19" w16cid:durableId="1519809597">
    <w:abstractNumId w:val="6"/>
  </w:num>
  <w:num w:numId="20" w16cid:durableId="1106654369">
    <w:abstractNumId w:val="7"/>
  </w:num>
  <w:num w:numId="21" w16cid:durableId="855311505">
    <w:abstractNumId w:val="16"/>
  </w:num>
  <w:num w:numId="22" w16cid:durableId="1128014861">
    <w:abstractNumId w:val="20"/>
  </w:num>
  <w:num w:numId="23" w16cid:durableId="444471535">
    <w:abstractNumId w:val="12"/>
  </w:num>
  <w:num w:numId="24" w16cid:durableId="1368600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2774"/>
    <w:rsid w:val="00060551"/>
    <w:rsid w:val="000761F2"/>
    <w:rsid w:val="0009529B"/>
    <w:rsid w:val="000B7827"/>
    <w:rsid w:val="000E1C8B"/>
    <w:rsid w:val="0010498C"/>
    <w:rsid w:val="001360EF"/>
    <w:rsid w:val="00141C6D"/>
    <w:rsid w:val="0016524D"/>
    <w:rsid w:val="001806C6"/>
    <w:rsid w:val="00180710"/>
    <w:rsid w:val="00181676"/>
    <w:rsid w:val="001C6CDA"/>
    <w:rsid w:val="001D7755"/>
    <w:rsid w:val="001F46F6"/>
    <w:rsid w:val="00213E7B"/>
    <w:rsid w:val="002141F8"/>
    <w:rsid w:val="00220A9A"/>
    <w:rsid w:val="00226843"/>
    <w:rsid w:val="002270A8"/>
    <w:rsid w:val="002311A9"/>
    <w:rsid w:val="0024328B"/>
    <w:rsid w:val="002466AB"/>
    <w:rsid w:val="00246D98"/>
    <w:rsid w:val="00281B02"/>
    <w:rsid w:val="002A0AC2"/>
    <w:rsid w:val="002D755E"/>
    <w:rsid w:val="002F6FC8"/>
    <w:rsid w:val="0030456C"/>
    <w:rsid w:val="003329C7"/>
    <w:rsid w:val="003551E1"/>
    <w:rsid w:val="00365C93"/>
    <w:rsid w:val="00372BB5"/>
    <w:rsid w:val="0037663C"/>
    <w:rsid w:val="003955FE"/>
    <w:rsid w:val="00395C1F"/>
    <w:rsid w:val="003A0A86"/>
    <w:rsid w:val="003C4357"/>
    <w:rsid w:val="003C60F7"/>
    <w:rsid w:val="003D4D87"/>
    <w:rsid w:val="004600FA"/>
    <w:rsid w:val="00464888"/>
    <w:rsid w:val="004748E5"/>
    <w:rsid w:val="00480FAD"/>
    <w:rsid w:val="004A6BB1"/>
    <w:rsid w:val="004A796F"/>
    <w:rsid w:val="004C6BAA"/>
    <w:rsid w:val="004F51BA"/>
    <w:rsid w:val="005125F6"/>
    <w:rsid w:val="00515D95"/>
    <w:rsid w:val="00561A2C"/>
    <w:rsid w:val="00577543"/>
    <w:rsid w:val="005A4D05"/>
    <w:rsid w:val="005E0795"/>
    <w:rsid w:val="005E6612"/>
    <w:rsid w:val="005E760C"/>
    <w:rsid w:val="005F2387"/>
    <w:rsid w:val="005F5E2A"/>
    <w:rsid w:val="006126B9"/>
    <w:rsid w:val="00645407"/>
    <w:rsid w:val="00647C3A"/>
    <w:rsid w:val="00651B33"/>
    <w:rsid w:val="00677A30"/>
    <w:rsid w:val="0068134D"/>
    <w:rsid w:val="00695CD1"/>
    <w:rsid w:val="006C0E64"/>
    <w:rsid w:val="006C4D8D"/>
    <w:rsid w:val="006C78E7"/>
    <w:rsid w:val="006D4B28"/>
    <w:rsid w:val="006D50C6"/>
    <w:rsid w:val="006F64DF"/>
    <w:rsid w:val="006F737F"/>
    <w:rsid w:val="00700D4D"/>
    <w:rsid w:val="007079B0"/>
    <w:rsid w:val="00710C22"/>
    <w:rsid w:val="00713365"/>
    <w:rsid w:val="00724932"/>
    <w:rsid w:val="00763784"/>
    <w:rsid w:val="00771CBE"/>
    <w:rsid w:val="007807FB"/>
    <w:rsid w:val="007840DF"/>
    <w:rsid w:val="00793DB6"/>
    <w:rsid w:val="007C27DD"/>
    <w:rsid w:val="007C3222"/>
    <w:rsid w:val="007F6D8B"/>
    <w:rsid w:val="007F737F"/>
    <w:rsid w:val="008022DB"/>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B45BF"/>
    <w:rsid w:val="009F634A"/>
    <w:rsid w:val="00A27909"/>
    <w:rsid w:val="00A405BB"/>
    <w:rsid w:val="00A50F8D"/>
    <w:rsid w:val="00A57756"/>
    <w:rsid w:val="00AB7A46"/>
    <w:rsid w:val="00AC7DE3"/>
    <w:rsid w:val="00AE230E"/>
    <w:rsid w:val="00AE41F1"/>
    <w:rsid w:val="00AF536B"/>
    <w:rsid w:val="00B03030"/>
    <w:rsid w:val="00B14D8F"/>
    <w:rsid w:val="00B6029A"/>
    <w:rsid w:val="00B6431B"/>
    <w:rsid w:val="00B824D6"/>
    <w:rsid w:val="00B905A5"/>
    <w:rsid w:val="00B91C7E"/>
    <w:rsid w:val="00B97621"/>
    <w:rsid w:val="00BA7BC6"/>
    <w:rsid w:val="00BC73FC"/>
    <w:rsid w:val="00BD151D"/>
    <w:rsid w:val="00BD579F"/>
    <w:rsid w:val="00BD6187"/>
    <w:rsid w:val="00BF3D6E"/>
    <w:rsid w:val="00C107EE"/>
    <w:rsid w:val="00C13C26"/>
    <w:rsid w:val="00C24C53"/>
    <w:rsid w:val="00C3543B"/>
    <w:rsid w:val="00C42AB0"/>
    <w:rsid w:val="00C43902"/>
    <w:rsid w:val="00C43CC7"/>
    <w:rsid w:val="00C4790C"/>
    <w:rsid w:val="00C57607"/>
    <w:rsid w:val="00C63F91"/>
    <w:rsid w:val="00C6483A"/>
    <w:rsid w:val="00C916FE"/>
    <w:rsid w:val="00CC16A5"/>
    <w:rsid w:val="00CC3477"/>
    <w:rsid w:val="00CD3C4E"/>
    <w:rsid w:val="00CE09A4"/>
    <w:rsid w:val="00D12306"/>
    <w:rsid w:val="00D15E96"/>
    <w:rsid w:val="00D27B4A"/>
    <w:rsid w:val="00D33ACE"/>
    <w:rsid w:val="00D3444F"/>
    <w:rsid w:val="00D63C04"/>
    <w:rsid w:val="00D655D1"/>
    <w:rsid w:val="00DB629F"/>
    <w:rsid w:val="00DC1709"/>
    <w:rsid w:val="00DC65EE"/>
    <w:rsid w:val="00DC6AB5"/>
    <w:rsid w:val="00E14925"/>
    <w:rsid w:val="00E26A54"/>
    <w:rsid w:val="00E301C7"/>
    <w:rsid w:val="00E4076D"/>
    <w:rsid w:val="00E810A5"/>
    <w:rsid w:val="00E95D2E"/>
    <w:rsid w:val="00E97637"/>
    <w:rsid w:val="00EA0AD6"/>
    <w:rsid w:val="00EA6384"/>
    <w:rsid w:val="00EB4914"/>
    <w:rsid w:val="00EC745A"/>
    <w:rsid w:val="00ED4EB2"/>
    <w:rsid w:val="00EF1947"/>
    <w:rsid w:val="00EF3E9E"/>
    <w:rsid w:val="00EF477D"/>
    <w:rsid w:val="00F10327"/>
    <w:rsid w:val="00F20667"/>
    <w:rsid w:val="00F5329A"/>
    <w:rsid w:val="00F57C7D"/>
    <w:rsid w:val="00F62465"/>
    <w:rsid w:val="00F628F9"/>
    <w:rsid w:val="00F72966"/>
    <w:rsid w:val="00F732D4"/>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F73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85013">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DBCC6D03-9F35-49EB-9647-4F3083707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649</Words>
  <Characters>3567</Characters>
  <Application>Microsoft Office Word</Application>
  <DocSecurity>0</DocSecurity>
  <Lines>95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Moss</dc:creator>
  <cp:keywords/>
  <dc:description/>
  <cp:lastModifiedBy>Deborah Bailey</cp:lastModifiedBy>
  <cp:revision>3</cp:revision>
  <cp:lastPrinted>2025-03-21T13:57:00Z</cp:lastPrinted>
  <dcterms:created xsi:type="dcterms:W3CDTF">2025-11-25T15:16:00Z</dcterms:created>
  <dcterms:modified xsi:type="dcterms:W3CDTF">2025-11-25T15:16:00Z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