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54970" w14:textId="77777777" w:rsidR="000C2DE6" w:rsidRDefault="00B305DA">
      <w:pPr>
        <w:tabs>
          <w:tab w:val="right" w:pos="9408"/>
        </w:tabs>
        <w:spacing w:after="0" w:line="259" w:lineRule="auto"/>
        <w:ind w:left="-15" w:right="0" w:firstLine="0"/>
      </w:pPr>
      <w:r>
        <w:rPr>
          <w:b/>
          <w:color w:val="005982"/>
          <w:sz w:val="40"/>
        </w:rPr>
        <w:t xml:space="preserve">HEAD OF SERVICE - </w:t>
      </w:r>
      <w:r>
        <w:rPr>
          <w:b/>
          <w:color w:val="005982"/>
          <w:sz w:val="40"/>
        </w:rPr>
        <w:tab/>
      </w:r>
      <w:r>
        <w:rPr>
          <w:color w:val="005982"/>
        </w:rPr>
        <w:t>Halton Borough Council</w:t>
      </w:r>
    </w:p>
    <w:p w14:paraId="5B3F1039" w14:textId="77777777" w:rsidR="000C2DE6" w:rsidRDefault="00B305DA">
      <w:pPr>
        <w:spacing w:after="87" w:line="259" w:lineRule="auto"/>
        <w:ind w:left="-5" w:right="0"/>
      </w:pPr>
      <w:r>
        <w:rPr>
          <w:color w:val="005982"/>
        </w:rPr>
        <w:t>resourcing@halton.gov.uk</w:t>
      </w:r>
    </w:p>
    <w:p w14:paraId="1D5E3FF0" w14:textId="77777777" w:rsidR="000C2DE6" w:rsidRDefault="00B305DA">
      <w:pPr>
        <w:pStyle w:val="Heading1"/>
      </w:pPr>
      <w:r>
        <w:t xml:space="preserve">REGENERATION </w:t>
      </w:r>
    </w:p>
    <w:p w14:paraId="43C79CE0" w14:textId="77777777" w:rsidR="000C2DE6" w:rsidRDefault="00B305DA">
      <w:pPr>
        <w:spacing w:after="0" w:line="259" w:lineRule="auto"/>
        <w:ind w:left="0" w:right="0" w:firstLine="0"/>
      </w:pPr>
      <w:r>
        <w:rPr>
          <w:b/>
          <w:sz w:val="24"/>
        </w:rPr>
        <w:t>SALARY GRADE: DM3</w:t>
      </w:r>
      <w:r>
        <w:t xml:space="preserve"> </w:t>
      </w:r>
    </w:p>
    <w:p w14:paraId="5BDA0A2D" w14:textId="77777777" w:rsidR="000C2DE6" w:rsidRDefault="00B305DA">
      <w:pPr>
        <w:spacing w:after="437" w:line="259" w:lineRule="auto"/>
        <w:ind w:left="0" w:right="0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26FA0BE7" wp14:editId="61A75962">
                <wp:extent cx="5938647" cy="38100"/>
                <wp:effectExtent l="0" t="0" r="0" b="0"/>
                <wp:docPr id="2850" name="Group 28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8647" cy="38100"/>
                          <a:chOff x="0" y="0"/>
                          <a:chExt cx="5938647" cy="38100"/>
                        </a:xfrm>
                      </wpg:grpSpPr>
                      <wps:wsp>
                        <wps:cNvPr id="3475" name="Shape 3475"/>
                        <wps:cNvSpPr/>
                        <wps:spPr>
                          <a:xfrm>
                            <a:off x="0" y="0"/>
                            <a:ext cx="4059301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9301" h="38100">
                                <a:moveTo>
                                  <a:pt x="0" y="0"/>
                                </a:moveTo>
                                <a:lnTo>
                                  <a:pt x="4059301" y="0"/>
                                </a:lnTo>
                                <a:lnTo>
                                  <a:pt x="4059301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B6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6" name="Shape 3476"/>
                        <wps:cNvSpPr/>
                        <wps:spPr>
                          <a:xfrm>
                            <a:off x="4059301" y="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B6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7" name="Shape 3477"/>
                        <wps:cNvSpPr/>
                        <wps:spPr>
                          <a:xfrm>
                            <a:off x="4097401" y="0"/>
                            <a:ext cx="184124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1246" h="38100">
                                <a:moveTo>
                                  <a:pt x="0" y="0"/>
                                </a:moveTo>
                                <a:lnTo>
                                  <a:pt x="1841246" y="0"/>
                                </a:lnTo>
                                <a:lnTo>
                                  <a:pt x="184124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B6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50" style="width:467.61pt;height:3pt;mso-position-horizontal-relative:char;mso-position-vertical-relative:line" coordsize="59386,381">
                <v:shape id="Shape 3478" style="position:absolute;width:40593;height:381;left:0;top:0;" coordsize="4059301,38100" path="m0,0l4059301,0l4059301,38100l0,38100l0,0">
                  <v:stroke weight="0pt" endcap="flat" joinstyle="miter" miterlimit="10" on="false" color="#000000" opacity="0"/>
                  <v:fill on="true" color="#1bb6ff"/>
                </v:shape>
                <v:shape id="Shape 3479" style="position:absolute;width:381;height:381;left:40593;top:0;" coordsize="38100,38100" path="m0,0l38100,0l38100,38100l0,38100l0,0">
                  <v:stroke weight="0pt" endcap="flat" joinstyle="miter" miterlimit="10" on="false" color="#000000" opacity="0"/>
                  <v:fill on="true" color="#1bb6ff"/>
                </v:shape>
                <v:shape id="Shape 3480" style="position:absolute;width:18412;height:381;left:40974;top:0;" coordsize="1841246,38100" path="m0,0l1841246,0l1841246,38100l0,38100l0,0">
                  <v:stroke weight="0pt" endcap="flat" joinstyle="miter" miterlimit="10" on="false" color="#000000" opacity="0"/>
                  <v:fill on="true" color="#1bb6ff"/>
                </v:shape>
              </v:group>
            </w:pict>
          </mc:Fallback>
        </mc:AlternateContent>
      </w:r>
    </w:p>
    <w:p w14:paraId="56C54127" w14:textId="77777777" w:rsidR="000C2DE6" w:rsidRDefault="00B305DA">
      <w:pPr>
        <w:pStyle w:val="Heading2"/>
        <w:spacing w:after="112"/>
        <w:ind w:left="-5"/>
      </w:pPr>
      <w:r>
        <w:t xml:space="preserve">WORKING AT HALTON </w:t>
      </w:r>
    </w:p>
    <w:p w14:paraId="68616914" w14:textId="77777777" w:rsidR="000C2DE6" w:rsidRDefault="00B305DA">
      <w:pPr>
        <w:spacing w:after="61"/>
        <w:ind w:right="39"/>
      </w:pPr>
      <w:r>
        <w:t xml:space="preserve">All our colleagues at Halton have made a positive commitment to delivering great outcomes for our communities.  Whoever joins us will share that passion for outstanding service, and strongly align with the values which define our workplace culture:  </w:t>
      </w:r>
    </w:p>
    <w:p w14:paraId="7C092464" w14:textId="77777777" w:rsidR="000C2DE6" w:rsidRDefault="00B305DA">
      <w:pPr>
        <w:numPr>
          <w:ilvl w:val="0"/>
          <w:numId w:val="1"/>
        </w:numPr>
        <w:ind w:right="39" w:hanging="360"/>
      </w:pPr>
      <w:r>
        <w:t xml:space="preserve">Working Together </w:t>
      </w:r>
      <w:r>
        <w:t>–</w:t>
      </w:r>
      <w:r>
        <w:t xml:space="preserve"> building fantastic relationships with colleagues and customers  </w:t>
      </w:r>
    </w:p>
    <w:p w14:paraId="05C60166" w14:textId="77777777" w:rsidR="000C2DE6" w:rsidRDefault="00B305DA">
      <w:pPr>
        <w:numPr>
          <w:ilvl w:val="0"/>
          <w:numId w:val="1"/>
        </w:numPr>
        <w:ind w:right="39" w:hanging="360"/>
      </w:pPr>
      <w:r>
        <w:t xml:space="preserve">Continuous Improvement </w:t>
      </w:r>
      <w:r>
        <w:t>–</w:t>
      </w:r>
      <w:r>
        <w:t xml:space="preserve"> keeping great service delivery at the heart of everything we do </w:t>
      </w:r>
    </w:p>
    <w:p w14:paraId="18305D48" w14:textId="77777777" w:rsidR="000C2DE6" w:rsidRDefault="00B305DA">
      <w:pPr>
        <w:numPr>
          <w:ilvl w:val="0"/>
          <w:numId w:val="1"/>
        </w:numPr>
        <w:ind w:right="39" w:hanging="360"/>
      </w:pPr>
      <w:r>
        <w:t xml:space="preserve">Personal Growth </w:t>
      </w:r>
      <w:r>
        <w:t>–</w:t>
      </w:r>
      <w:r>
        <w:t xml:space="preserve"> learning, growing and developing ourselves  </w:t>
      </w:r>
    </w:p>
    <w:p w14:paraId="1277419D" w14:textId="77777777" w:rsidR="000C2DE6" w:rsidRDefault="00B305DA">
      <w:pPr>
        <w:numPr>
          <w:ilvl w:val="0"/>
          <w:numId w:val="1"/>
        </w:numPr>
        <w:ind w:right="39" w:hanging="360"/>
      </w:pPr>
      <w:r>
        <w:t xml:space="preserve">Accountability </w:t>
      </w:r>
      <w:r>
        <w:t>–</w:t>
      </w:r>
      <w:r>
        <w:t xml:space="preserve"> doing what we say we are going to do </w:t>
      </w:r>
    </w:p>
    <w:p w14:paraId="041CEF31" w14:textId="77777777" w:rsidR="000C2DE6" w:rsidRDefault="00B305DA">
      <w:pPr>
        <w:numPr>
          <w:ilvl w:val="0"/>
          <w:numId w:val="1"/>
        </w:numPr>
        <w:spacing w:after="0"/>
        <w:ind w:right="39" w:hanging="360"/>
      </w:pPr>
      <w:r>
        <w:t xml:space="preserve">Inspiring Leadership </w:t>
      </w:r>
      <w:r>
        <w:t>–</w:t>
      </w:r>
      <w:r>
        <w:t xml:space="preserve"> positive roles models and leading by example </w:t>
      </w:r>
    </w:p>
    <w:p w14:paraId="6510E565" w14:textId="77777777" w:rsidR="000C2DE6" w:rsidRDefault="00B305DA">
      <w:pPr>
        <w:spacing w:after="17" w:line="259" w:lineRule="auto"/>
        <w:ind w:left="0" w:right="0" w:firstLine="0"/>
      </w:pPr>
      <w:r>
        <w:rPr>
          <w:i/>
        </w:rPr>
        <w:t xml:space="preserve"> </w:t>
      </w:r>
    </w:p>
    <w:p w14:paraId="543D2F2E" w14:textId="77777777" w:rsidR="000C2DE6" w:rsidRDefault="00B305DA">
      <w:pPr>
        <w:spacing w:after="15" w:line="259" w:lineRule="auto"/>
        <w:ind w:left="-5" w:right="0"/>
      </w:pPr>
      <w:r>
        <w:rPr>
          <w:i/>
        </w:rPr>
        <w:t xml:space="preserve">To read more about our values, click </w:t>
      </w:r>
      <w:r>
        <w:rPr>
          <w:i/>
          <w:color w:val="005A82"/>
          <w:u w:val="single" w:color="005A82"/>
        </w:rPr>
        <w:t>HERE</w:t>
      </w:r>
      <w:r>
        <w:rPr>
          <w:i/>
        </w:rPr>
        <w:t xml:space="preserve"> </w:t>
      </w:r>
    </w:p>
    <w:p w14:paraId="4A47C93C" w14:textId="77777777" w:rsidR="000C2DE6" w:rsidRDefault="00B305DA">
      <w:pPr>
        <w:spacing w:after="15" w:line="259" w:lineRule="auto"/>
        <w:ind w:left="0" w:right="0" w:firstLine="0"/>
      </w:pPr>
      <w:r>
        <w:rPr>
          <w:i/>
        </w:rPr>
        <w:t xml:space="preserve"> </w:t>
      </w:r>
    </w:p>
    <w:p w14:paraId="3EFFCE40" w14:textId="77777777" w:rsidR="000C2DE6" w:rsidRDefault="00B305DA">
      <w:pPr>
        <w:spacing w:after="2" w:line="237" w:lineRule="auto"/>
        <w:ind w:left="0" w:right="0" w:firstLine="0"/>
      </w:pPr>
      <w:r>
        <w:rPr>
          <w:b/>
        </w:rPr>
        <w:t xml:space="preserve">We </w:t>
      </w:r>
      <w:r>
        <w:rPr>
          <w:b/>
        </w:rPr>
        <w:t>are immensely proud that when asked what’s great about working for Halton, the most popular response from our workforce has been ‘</w:t>
      </w:r>
      <w:r>
        <w:rPr>
          <w:b/>
          <w:i/>
        </w:rPr>
        <w:t>our colleagues’</w:t>
      </w:r>
      <w:r>
        <w:rPr>
          <w:b/>
        </w:rPr>
        <w:t xml:space="preserve">. </w:t>
      </w:r>
    </w:p>
    <w:p w14:paraId="769843B7" w14:textId="77777777" w:rsidR="000C2DE6" w:rsidRDefault="00B305DA">
      <w:pPr>
        <w:spacing w:after="15" w:line="259" w:lineRule="auto"/>
        <w:ind w:left="0" w:right="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C1CF4D7" wp14:editId="2DE9E00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816864"/>
            <wp:effectExtent l="0" t="0" r="0" b="0"/>
            <wp:wrapTopAndBottom/>
            <wp:docPr id="3369" name="Picture 33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9" name="Picture 336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816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 </w:t>
      </w:r>
    </w:p>
    <w:p w14:paraId="4A6AB4D9" w14:textId="77777777" w:rsidR="000C2DE6" w:rsidRDefault="00B305DA">
      <w:pPr>
        <w:spacing w:after="63"/>
        <w:ind w:right="39"/>
      </w:pPr>
      <w:r>
        <w:t xml:space="preserve">Aside from working with a great team, our employees have access to a fantastic range of benefits, including: </w:t>
      </w:r>
    </w:p>
    <w:p w14:paraId="7AA8BBED" w14:textId="77777777" w:rsidR="000C2DE6" w:rsidRDefault="00B305DA">
      <w:pPr>
        <w:numPr>
          <w:ilvl w:val="0"/>
          <w:numId w:val="1"/>
        </w:numPr>
        <w:ind w:right="39" w:hanging="360"/>
      </w:pPr>
      <w:r>
        <w:t xml:space="preserve">A generous annual holiday allowance of 44 days per year (including bank holidays) </w:t>
      </w:r>
    </w:p>
    <w:p w14:paraId="363E5DCC" w14:textId="77777777" w:rsidR="000C2DE6" w:rsidRDefault="00B305DA">
      <w:pPr>
        <w:numPr>
          <w:ilvl w:val="0"/>
          <w:numId w:val="1"/>
        </w:numPr>
        <w:ind w:right="39" w:hanging="360"/>
      </w:pPr>
      <w:r>
        <w:t xml:space="preserve">Membership of our defined benefit, salary-linked pension scheme with generous Employer Contributions </w:t>
      </w:r>
    </w:p>
    <w:p w14:paraId="11A127C4" w14:textId="77777777" w:rsidR="000C2DE6" w:rsidRDefault="00B305DA">
      <w:pPr>
        <w:numPr>
          <w:ilvl w:val="0"/>
          <w:numId w:val="1"/>
        </w:numPr>
        <w:ind w:right="39" w:hanging="360"/>
      </w:pPr>
      <w:r>
        <w:t xml:space="preserve">3 x Salary Life Cover via Local Government Pension Scheme </w:t>
      </w:r>
    </w:p>
    <w:p w14:paraId="6E7F36B5" w14:textId="77777777" w:rsidR="000C2DE6" w:rsidRDefault="00B305DA">
      <w:pPr>
        <w:numPr>
          <w:ilvl w:val="0"/>
          <w:numId w:val="1"/>
        </w:numPr>
        <w:ind w:right="39" w:hanging="360"/>
      </w:pPr>
      <w:r>
        <w:t xml:space="preserve">Investment in your personal development  </w:t>
      </w:r>
    </w:p>
    <w:p w14:paraId="2162B9EA" w14:textId="77777777" w:rsidR="000C2DE6" w:rsidRDefault="00B305DA">
      <w:pPr>
        <w:numPr>
          <w:ilvl w:val="0"/>
          <w:numId w:val="1"/>
        </w:numPr>
        <w:ind w:right="39" w:hanging="360"/>
      </w:pPr>
      <w:r>
        <w:t xml:space="preserve">Free Car Parking at HBC sites  </w:t>
      </w:r>
    </w:p>
    <w:p w14:paraId="6382F8BC" w14:textId="77777777" w:rsidR="000C2DE6" w:rsidRDefault="00B305DA">
      <w:pPr>
        <w:numPr>
          <w:ilvl w:val="0"/>
          <w:numId w:val="1"/>
        </w:numPr>
        <w:ind w:right="39" w:hanging="360"/>
      </w:pPr>
      <w:r>
        <w:t xml:space="preserve">Flexible / hybrid working arrangements available </w:t>
      </w:r>
    </w:p>
    <w:p w14:paraId="328D1D03" w14:textId="77777777" w:rsidR="000C2DE6" w:rsidRDefault="00B305DA">
      <w:pPr>
        <w:numPr>
          <w:ilvl w:val="0"/>
          <w:numId w:val="1"/>
        </w:numPr>
        <w:ind w:right="39" w:hanging="360"/>
      </w:pPr>
      <w:r>
        <w:t xml:space="preserve">Car leasing schemes </w:t>
      </w:r>
    </w:p>
    <w:p w14:paraId="6A9ED853" w14:textId="77777777" w:rsidR="000C2DE6" w:rsidRDefault="00B305DA">
      <w:pPr>
        <w:numPr>
          <w:ilvl w:val="0"/>
          <w:numId w:val="1"/>
        </w:numPr>
        <w:spacing w:after="0"/>
        <w:ind w:right="39" w:hanging="360"/>
      </w:pPr>
      <w:r>
        <w:t>Essential Monthly Car User Allowance</w:t>
      </w:r>
      <w:r>
        <w:rPr>
          <w:i/>
        </w:rPr>
        <w:t xml:space="preserve"> </w:t>
      </w:r>
    </w:p>
    <w:p w14:paraId="6ADDD8FE" w14:textId="77777777" w:rsidR="000C2DE6" w:rsidRDefault="00B305DA">
      <w:pPr>
        <w:spacing w:after="15" w:line="259" w:lineRule="auto"/>
        <w:ind w:left="-5" w:right="0"/>
      </w:pPr>
      <w:r>
        <w:rPr>
          <w:i/>
        </w:rPr>
        <w:t xml:space="preserve">For further information about all the benefits we offer, please click </w:t>
      </w:r>
      <w:r>
        <w:rPr>
          <w:i/>
          <w:color w:val="005A82"/>
          <w:u w:val="single" w:color="005A82"/>
        </w:rPr>
        <w:t>HERE</w:t>
      </w:r>
      <w:r>
        <w:rPr>
          <w:i/>
        </w:rPr>
        <w:t xml:space="preserve">. </w:t>
      </w:r>
    </w:p>
    <w:p w14:paraId="5BDA773E" w14:textId="77777777" w:rsidR="000C2DE6" w:rsidRDefault="00B305DA">
      <w:pPr>
        <w:spacing w:after="0" w:line="259" w:lineRule="auto"/>
        <w:ind w:left="0" w:right="0" w:firstLine="0"/>
      </w:pPr>
      <w:r>
        <w:t xml:space="preserve"> </w:t>
      </w:r>
    </w:p>
    <w:p w14:paraId="671D5FCF" w14:textId="77777777" w:rsidR="000C2DE6" w:rsidRDefault="00B305DA">
      <w:pPr>
        <w:spacing w:after="437" w:line="259" w:lineRule="auto"/>
        <w:ind w:left="0" w:right="0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00454DFC" wp14:editId="7DCD684D">
                <wp:extent cx="5938774" cy="38100"/>
                <wp:effectExtent l="0" t="0" r="0" b="0"/>
                <wp:docPr id="2851" name="Group 28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8774" cy="38100"/>
                          <a:chOff x="0" y="0"/>
                          <a:chExt cx="5938774" cy="38100"/>
                        </a:xfrm>
                      </wpg:grpSpPr>
                      <wps:wsp>
                        <wps:cNvPr id="3481" name="Shape 3481"/>
                        <wps:cNvSpPr/>
                        <wps:spPr>
                          <a:xfrm>
                            <a:off x="0" y="0"/>
                            <a:ext cx="5938774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8774" h="38100">
                                <a:moveTo>
                                  <a:pt x="0" y="0"/>
                                </a:moveTo>
                                <a:lnTo>
                                  <a:pt x="5938774" y="0"/>
                                </a:lnTo>
                                <a:lnTo>
                                  <a:pt x="5938774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B6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51" style="width:467.62pt;height:3pt;mso-position-horizontal-relative:char;mso-position-vertical-relative:line" coordsize="59387,381">
                <v:shape id="Shape 3482" style="position:absolute;width:59387;height:381;left:0;top:0;" coordsize="5938774,38100" path="m0,0l5938774,0l5938774,38100l0,38100l0,0">
                  <v:stroke weight="0pt" endcap="flat" joinstyle="miter" miterlimit="10" on="false" color="#000000" opacity="0"/>
                  <v:fill on="true" color="#1bb6ff"/>
                </v:shape>
              </v:group>
            </w:pict>
          </mc:Fallback>
        </mc:AlternateContent>
      </w:r>
    </w:p>
    <w:p w14:paraId="6CF183AE" w14:textId="77777777" w:rsidR="000C2DE6" w:rsidRDefault="00B305DA">
      <w:pPr>
        <w:pStyle w:val="Heading2"/>
        <w:ind w:left="-5"/>
      </w:pPr>
      <w:r>
        <w:t xml:space="preserve">ABOUT THE JOB  </w:t>
      </w:r>
    </w:p>
    <w:p w14:paraId="0855913E" w14:textId="77777777" w:rsidR="000C2DE6" w:rsidRDefault="00B305DA">
      <w:pPr>
        <w:spacing w:after="6"/>
        <w:ind w:right="180"/>
      </w:pPr>
      <w:r>
        <w:rPr>
          <w:b/>
        </w:rPr>
        <w:t>The Economy, Enterprise and Property department</w:t>
      </w:r>
      <w:r>
        <w:t xml:space="preserve"> </w:t>
      </w:r>
      <w:r>
        <w:t xml:space="preserve">brings together the key ingredients needed to drive </w:t>
      </w:r>
      <w:r>
        <w:t xml:space="preserve">Halton’s economic growth and prosperity, aligning the place and people elements of economic regeneration. </w:t>
      </w:r>
      <w:r>
        <w:t xml:space="preserve"> </w:t>
      </w:r>
      <w:r>
        <w:t xml:space="preserve">It oversees the management and maintenance of the Council’s strategic land and property assets. The department </w:t>
      </w:r>
      <w:r>
        <w:t xml:space="preserve">champions the importance of strong Employment, Learning and Skills in a modern economy, encouraging investment in the borough, and encouraging local businesses to grow and thrive. </w:t>
      </w:r>
    </w:p>
    <w:p w14:paraId="55B1A1B5" w14:textId="77777777" w:rsidR="000C2DE6" w:rsidRDefault="00B305DA">
      <w:pPr>
        <w:spacing w:after="15" w:line="259" w:lineRule="auto"/>
        <w:ind w:left="0" w:right="0" w:firstLine="0"/>
      </w:pPr>
      <w:r>
        <w:lastRenderedPageBreak/>
        <w:t xml:space="preserve"> </w:t>
      </w:r>
    </w:p>
    <w:p w14:paraId="1A9580B6" w14:textId="77777777" w:rsidR="000C2DE6" w:rsidRDefault="00B305DA">
      <w:pPr>
        <w:ind w:right="39"/>
      </w:pPr>
      <w:r>
        <w:t xml:space="preserve">This is a new post within the department,  to lead the Regeneration Division in the development and delivery of a wide range of innovative, multi-faceted and exciting regeneration projects.  </w:t>
      </w:r>
    </w:p>
    <w:p w14:paraId="7477856E" w14:textId="77777777" w:rsidR="000C2DE6" w:rsidRDefault="00B305DA">
      <w:pPr>
        <w:spacing w:after="15" w:line="259" w:lineRule="auto"/>
        <w:ind w:left="0" w:right="0" w:firstLine="0"/>
      </w:pPr>
      <w:r>
        <w:t xml:space="preserve"> </w:t>
      </w:r>
    </w:p>
    <w:p w14:paraId="2846B975" w14:textId="77777777" w:rsidR="000C2DE6" w:rsidRDefault="00B305DA">
      <w:pPr>
        <w:spacing w:after="63"/>
        <w:ind w:right="39"/>
      </w:pPr>
      <w:r>
        <w:t xml:space="preserve">More specific responsibilities include: </w:t>
      </w:r>
    </w:p>
    <w:p w14:paraId="3C4597F1" w14:textId="77777777" w:rsidR="000C2DE6" w:rsidRDefault="00B305DA">
      <w:pPr>
        <w:numPr>
          <w:ilvl w:val="0"/>
          <w:numId w:val="2"/>
        </w:numPr>
        <w:spacing w:after="60"/>
        <w:ind w:right="39" w:hanging="360"/>
      </w:pPr>
      <w:r>
        <w:t xml:space="preserve">To provide strategic leadership in the formulation and delivery of a comprehensive range of economic regeneration projects and programmes. </w:t>
      </w:r>
    </w:p>
    <w:p w14:paraId="54E2DB9B" w14:textId="77777777" w:rsidR="000C2DE6" w:rsidRDefault="00B305DA">
      <w:pPr>
        <w:numPr>
          <w:ilvl w:val="0"/>
          <w:numId w:val="2"/>
        </w:numPr>
        <w:spacing w:after="40" w:line="259" w:lineRule="auto"/>
        <w:ind w:right="39" w:hanging="360"/>
      </w:pPr>
      <w:r>
        <w:t xml:space="preserve">To have full responsibility for the management and development of the Council’s Regeneration </w:t>
      </w:r>
      <w:r>
        <w:t xml:space="preserve">division. </w:t>
      </w:r>
    </w:p>
    <w:p w14:paraId="1E0FA818" w14:textId="77777777" w:rsidR="000C2DE6" w:rsidRDefault="00B305DA">
      <w:pPr>
        <w:numPr>
          <w:ilvl w:val="0"/>
          <w:numId w:val="2"/>
        </w:numPr>
        <w:spacing w:after="60"/>
        <w:ind w:right="39" w:hanging="360"/>
      </w:pPr>
      <w:r>
        <w:t xml:space="preserve">To provide strategic advice to Executive Directors, Corporate Management Team and Elected Members </w:t>
      </w:r>
      <w:r>
        <w:t>in all matters relating to Halton’s economic regeneration priorities</w:t>
      </w:r>
      <w:r>
        <w:t xml:space="preserve">. </w:t>
      </w:r>
    </w:p>
    <w:p w14:paraId="59B071F1" w14:textId="77777777" w:rsidR="000C2DE6" w:rsidRDefault="00B305DA">
      <w:pPr>
        <w:numPr>
          <w:ilvl w:val="0"/>
          <w:numId w:val="2"/>
        </w:numPr>
        <w:spacing w:after="63"/>
        <w:ind w:right="39" w:hanging="360"/>
      </w:pPr>
      <w:r>
        <w:t xml:space="preserve">To contribute to the development of an Economic Growth Plan for Halton and associated project pipeline. </w:t>
      </w:r>
    </w:p>
    <w:p w14:paraId="6110007E" w14:textId="77777777" w:rsidR="000C2DE6" w:rsidRDefault="00B305DA">
      <w:pPr>
        <w:numPr>
          <w:ilvl w:val="0"/>
          <w:numId w:val="2"/>
        </w:numPr>
        <w:ind w:right="39" w:hanging="360"/>
      </w:pPr>
      <w:r>
        <w:t xml:space="preserve">To be responsible for the operation and </w:t>
      </w:r>
      <w:r>
        <w:t>implementation of the Council’s HR policies</w:t>
      </w:r>
      <w:r>
        <w:t xml:space="preserve"> and procedures </w:t>
      </w:r>
    </w:p>
    <w:p w14:paraId="3DEFC8BA" w14:textId="77777777" w:rsidR="000C2DE6" w:rsidRDefault="00B305DA">
      <w:pPr>
        <w:numPr>
          <w:ilvl w:val="0"/>
          <w:numId w:val="2"/>
        </w:numPr>
        <w:spacing w:after="60"/>
        <w:ind w:right="39" w:hanging="360"/>
      </w:pPr>
      <w:r>
        <w:t xml:space="preserve">To prepare a service plan which outlines work priorities for the division which is properly communicated to staff and is implemented within a robust performance management framework. </w:t>
      </w:r>
    </w:p>
    <w:p w14:paraId="32F45113" w14:textId="77777777" w:rsidR="000C2DE6" w:rsidRDefault="00B305DA">
      <w:pPr>
        <w:numPr>
          <w:ilvl w:val="0"/>
          <w:numId w:val="2"/>
        </w:numPr>
        <w:spacing w:after="61"/>
        <w:ind w:right="39" w:hanging="360"/>
      </w:pPr>
      <w:r>
        <w:t xml:space="preserve">To support and develop local partnerships to address </w:t>
      </w:r>
      <w:r>
        <w:t xml:space="preserve">strategic and operational issues facing the borough’s </w:t>
      </w:r>
      <w:r>
        <w:t xml:space="preserve">economy. </w:t>
      </w:r>
    </w:p>
    <w:p w14:paraId="61D72702" w14:textId="77777777" w:rsidR="000C2DE6" w:rsidRDefault="00B305DA">
      <w:pPr>
        <w:numPr>
          <w:ilvl w:val="0"/>
          <w:numId w:val="2"/>
        </w:numPr>
        <w:spacing w:after="60"/>
        <w:ind w:right="39" w:hanging="360"/>
      </w:pPr>
      <w:r>
        <w:t xml:space="preserve">To represent Halton and work with external partners such as the Combined Authority and government departments to maximise external funding resources being made available to Halton. </w:t>
      </w:r>
    </w:p>
    <w:p w14:paraId="16006127" w14:textId="77777777" w:rsidR="000C2DE6" w:rsidRDefault="00B305DA">
      <w:pPr>
        <w:numPr>
          <w:ilvl w:val="0"/>
          <w:numId w:val="2"/>
        </w:numPr>
        <w:spacing w:after="63"/>
        <w:ind w:right="39" w:hanging="360"/>
      </w:pPr>
      <w:r>
        <w:t xml:space="preserve">To develop, promote and proactively market the </w:t>
      </w:r>
      <w:r>
        <w:t xml:space="preserve">borough’s economic assets </w:t>
      </w:r>
      <w:r>
        <w:t xml:space="preserve">at with the media, commerce and trade organisations, as well as key stakeholders. </w:t>
      </w:r>
    </w:p>
    <w:p w14:paraId="279BDE73" w14:textId="77777777" w:rsidR="000C2DE6" w:rsidRDefault="00B305DA">
      <w:pPr>
        <w:numPr>
          <w:ilvl w:val="0"/>
          <w:numId w:val="2"/>
        </w:numPr>
        <w:spacing w:after="6"/>
        <w:ind w:right="39" w:hanging="360"/>
      </w:pPr>
      <w:r>
        <w:t xml:space="preserve">This post is required to participate in the Council's incident manager rota and may be called in to assist during in an emergency situation when an incident is declared. </w:t>
      </w:r>
    </w:p>
    <w:p w14:paraId="21B1ADFB" w14:textId="77777777" w:rsidR="000C2DE6" w:rsidRDefault="00B305DA">
      <w:pPr>
        <w:spacing w:after="15" w:line="259" w:lineRule="auto"/>
        <w:ind w:left="720" w:right="0" w:firstLine="0"/>
      </w:pPr>
      <w:r>
        <w:t xml:space="preserve"> </w:t>
      </w:r>
    </w:p>
    <w:p w14:paraId="386C459C" w14:textId="77777777" w:rsidR="000C2DE6" w:rsidRDefault="00B305DA">
      <w:pPr>
        <w:spacing w:after="0" w:line="259" w:lineRule="auto"/>
        <w:ind w:left="0" w:right="0" w:firstLine="0"/>
      </w:pPr>
      <w:r>
        <w:t xml:space="preserve"> </w:t>
      </w:r>
    </w:p>
    <w:p w14:paraId="2CB739D4" w14:textId="77777777" w:rsidR="000C2DE6" w:rsidRDefault="00B305DA">
      <w:pPr>
        <w:spacing w:after="437" w:line="259" w:lineRule="auto"/>
        <w:ind w:left="0" w:right="0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4C27552C" wp14:editId="1BFB634F">
                <wp:extent cx="5938774" cy="38100"/>
                <wp:effectExtent l="0" t="0" r="0" b="0"/>
                <wp:docPr id="2847" name="Group 28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8774" cy="38100"/>
                          <a:chOff x="0" y="0"/>
                          <a:chExt cx="5938774" cy="38100"/>
                        </a:xfrm>
                      </wpg:grpSpPr>
                      <wps:wsp>
                        <wps:cNvPr id="3483" name="Shape 3483"/>
                        <wps:cNvSpPr/>
                        <wps:spPr>
                          <a:xfrm>
                            <a:off x="0" y="0"/>
                            <a:ext cx="5938774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8774" h="38100">
                                <a:moveTo>
                                  <a:pt x="0" y="0"/>
                                </a:moveTo>
                                <a:lnTo>
                                  <a:pt x="5938774" y="0"/>
                                </a:lnTo>
                                <a:lnTo>
                                  <a:pt x="5938774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B6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47" style="width:467.62pt;height:3pt;mso-position-horizontal-relative:char;mso-position-vertical-relative:line" coordsize="59387,381">
                <v:shape id="Shape 3484" style="position:absolute;width:59387;height:381;left:0;top:0;" coordsize="5938774,38100" path="m0,0l5938774,0l5938774,38100l0,38100l0,0">
                  <v:stroke weight="0pt" endcap="flat" joinstyle="miter" miterlimit="10" on="false" color="#000000" opacity="0"/>
                  <v:fill on="true" color="#1bb6ff"/>
                </v:shape>
              </v:group>
            </w:pict>
          </mc:Fallback>
        </mc:AlternateContent>
      </w:r>
    </w:p>
    <w:p w14:paraId="20BEC36A" w14:textId="3F9D2866" w:rsidR="00B305DA" w:rsidRDefault="00B305DA" w:rsidP="00B305DA">
      <w:pPr>
        <w:spacing w:after="1" w:line="259" w:lineRule="auto"/>
        <w:ind w:right="39"/>
      </w:pPr>
      <w:r>
        <w:t xml:space="preserve">ABOUT YOU </w:t>
      </w:r>
    </w:p>
    <w:p w14:paraId="3F5F1D4E" w14:textId="50DC4E49" w:rsidR="000C2DE6" w:rsidRDefault="00B305DA">
      <w:pPr>
        <w:spacing w:after="15" w:line="259" w:lineRule="auto"/>
        <w:ind w:left="0" w:right="0" w:firstLine="0"/>
        <w:rPr>
          <w:rFonts w:ascii="Calibri" w:eastAsia="Calibri" w:hAnsi="Calibri" w:cs="Calibri"/>
        </w:rPr>
      </w:pPr>
      <w:r>
        <w:t xml:space="preserve">You will have a  </w:t>
      </w:r>
      <w:r>
        <w:rPr>
          <w:rFonts w:ascii="Calibri" w:eastAsia="Calibri" w:hAnsi="Calibri" w:cs="Calibri"/>
        </w:rPr>
        <w:t>Relevant Degree or equivalent experience</w:t>
      </w:r>
    </w:p>
    <w:p w14:paraId="3E86F887" w14:textId="77777777" w:rsidR="00B305DA" w:rsidRDefault="00B305DA">
      <w:pPr>
        <w:spacing w:after="15" w:line="259" w:lineRule="auto"/>
        <w:ind w:left="0" w:right="0" w:firstLine="0"/>
      </w:pPr>
    </w:p>
    <w:p w14:paraId="3EF41E91" w14:textId="77777777" w:rsidR="000C2DE6" w:rsidRDefault="00B305DA">
      <w:pPr>
        <w:ind w:right="39"/>
      </w:pPr>
      <w:r>
        <w:t xml:space="preserve">In addition you will have: </w:t>
      </w:r>
    </w:p>
    <w:p w14:paraId="36456ED4" w14:textId="77777777" w:rsidR="000C2DE6" w:rsidRDefault="00B305DA">
      <w:pPr>
        <w:numPr>
          <w:ilvl w:val="0"/>
          <w:numId w:val="3"/>
        </w:numPr>
        <w:spacing w:after="1" w:line="259" w:lineRule="auto"/>
        <w:ind w:right="39" w:hanging="360"/>
      </w:pPr>
      <w:r>
        <w:rPr>
          <w:rFonts w:ascii="Calibri" w:eastAsia="Calibri" w:hAnsi="Calibri" w:cs="Calibri"/>
        </w:rPr>
        <w:t xml:space="preserve">RTPI or RICS membership </w:t>
      </w:r>
    </w:p>
    <w:p w14:paraId="0768AB93" w14:textId="77777777" w:rsidR="000C2DE6" w:rsidRDefault="00B305DA">
      <w:pPr>
        <w:numPr>
          <w:ilvl w:val="0"/>
          <w:numId w:val="3"/>
        </w:numPr>
        <w:spacing w:after="1" w:line="259" w:lineRule="auto"/>
        <w:ind w:right="39" w:hanging="360"/>
      </w:pPr>
      <w:r>
        <w:rPr>
          <w:rFonts w:ascii="Calibri" w:eastAsia="Calibri" w:hAnsi="Calibri" w:cs="Calibri"/>
        </w:rPr>
        <w:t xml:space="preserve">A comprehensive understanding of multi-agency regeneration schemes. </w:t>
      </w:r>
    </w:p>
    <w:p w14:paraId="558AE08C" w14:textId="77777777" w:rsidR="000C2DE6" w:rsidRDefault="00B305DA">
      <w:pPr>
        <w:numPr>
          <w:ilvl w:val="0"/>
          <w:numId w:val="3"/>
        </w:numPr>
        <w:spacing w:after="1" w:line="259" w:lineRule="auto"/>
        <w:ind w:right="39" w:hanging="360"/>
      </w:pPr>
      <w:r>
        <w:rPr>
          <w:rFonts w:ascii="Calibri" w:eastAsia="Calibri" w:hAnsi="Calibri" w:cs="Calibri"/>
        </w:rPr>
        <w:t xml:space="preserve">A comprehensive understanding of the commercial property sector.  </w:t>
      </w:r>
    </w:p>
    <w:p w14:paraId="4BD532E6" w14:textId="77777777" w:rsidR="000C2DE6" w:rsidRDefault="00B305DA">
      <w:pPr>
        <w:numPr>
          <w:ilvl w:val="0"/>
          <w:numId w:val="3"/>
        </w:numPr>
        <w:spacing w:after="1" w:line="259" w:lineRule="auto"/>
        <w:ind w:right="39" w:hanging="360"/>
      </w:pPr>
      <w:r>
        <w:rPr>
          <w:rFonts w:ascii="Calibri" w:eastAsia="Calibri" w:hAnsi="Calibri" w:cs="Calibri"/>
        </w:rPr>
        <w:t xml:space="preserve">A knowledge of maximising regeneration assets to generate income for the Council. </w:t>
      </w:r>
    </w:p>
    <w:p w14:paraId="4D0E8BCD" w14:textId="77777777" w:rsidR="000C2DE6" w:rsidRDefault="00B305DA">
      <w:pPr>
        <w:numPr>
          <w:ilvl w:val="0"/>
          <w:numId w:val="3"/>
        </w:numPr>
        <w:spacing w:after="1" w:line="259" w:lineRule="auto"/>
        <w:ind w:right="39" w:hanging="360"/>
      </w:pPr>
      <w:r>
        <w:rPr>
          <w:rFonts w:ascii="Calibri" w:eastAsia="Calibri" w:hAnsi="Calibri" w:cs="Calibri"/>
        </w:rPr>
        <w:t xml:space="preserve">A broad understanding of Compulsory Purchase Order legislation.  </w:t>
      </w:r>
    </w:p>
    <w:p w14:paraId="4216270B" w14:textId="77777777" w:rsidR="000C2DE6" w:rsidRDefault="00B305DA">
      <w:pPr>
        <w:numPr>
          <w:ilvl w:val="0"/>
          <w:numId w:val="3"/>
        </w:numPr>
        <w:ind w:right="39" w:hanging="360"/>
      </w:pPr>
      <w:r>
        <w:t xml:space="preserve">Highly developed communication and influencing skills. </w:t>
      </w:r>
    </w:p>
    <w:p w14:paraId="66E4963A" w14:textId="77777777" w:rsidR="000C2DE6" w:rsidRDefault="00B305DA">
      <w:pPr>
        <w:numPr>
          <w:ilvl w:val="0"/>
          <w:numId w:val="3"/>
        </w:numPr>
        <w:spacing w:after="60"/>
        <w:ind w:right="39" w:hanging="360"/>
      </w:pPr>
      <w:r>
        <w:t xml:space="preserve">Ability to provide and present information in a meaningful form including plans and strategies to a variety of audiences.  </w:t>
      </w:r>
    </w:p>
    <w:p w14:paraId="6A6428FA" w14:textId="77777777" w:rsidR="000C2DE6" w:rsidRDefault="00B305DA">
      <w:pPr>
        <w:numPr>
          <w:ilvl w:val="0"/>
          <w:numId w:val="3"/>
        </w:numPr>
        <w:ind w:right="39" w:hanging="360"/>
      </w:pPr>
      <w:r>
        <w:t xml:space="preserve">Able to manage project work within an economic regeneration context. </w:t>
      </w:r>
    </w:p>
    <w:p w14:paraId="1F84ECF8" w14:textId="77777777" w:rsidR="000C2DE6" w:rsidRDefault="00B305DA">
      <w:pPr>
        <w:numPr>
          <w:ilvl w:val="0"/>
          <w:numId w:val="3"/>
        </w:numPr>
        <w:spacing w:after="60"/>
        <w:ind w:right="39" w:hanging="360"/>
      </w:pPr>
      <w:r>
        <w:t xml:space="preserve">Able to provide direction for the Division through comprehensive understanding of its place within the organisational vision. </w:t>
      </w:r>
    </w:p>
    <w:p w14:paraId="49839A05" w14:textId="77777777" w:rsidR="000C2DE6" w:rsidRDefault="00B305DA">
      <w:pPr>
        <w:numPr>
          <w:ilvl w:val="0"/>
          <w:numId w:val="3"/>
        </w:numPr>
        <w:ind w:right="39" w:hanging="360"/>
      </w:pPr>
      <w:r>
        <w:t xml:space="preserve">Ability to manage and monitor programme performance effectively. </w:t>
      </w:r>
    </w:p>
    <w:p w14:paraId="58B886EF" w14:textId="77777777" w:rsidR="000C2DE6" w:rsidRDefault="00B305DA">
      <w:pPr>
        <w:numPr>
          <w:ilvl w:val="0"/>
          <w:numId w:val="3"/>
        </w:numPr>
        <w:ind w:right="39" w:hanging="360"/>
      </w:pPr>
      <w:r>
        <w:t xml:space="preserve">Demonstrable track record of financial and budget management relating to economic regeneration/inward investment projects. </w:t>
      </w:r>
    </w:p>
    <w:p w14:paraId="3A1D65DA" w14:textId="77777777" w:rsidR="000C2DE6" w:rsidRDefault="00B305DA">
      <w:pPr>
        <w:numPr>
          <w:ilvl w:val="0"/>
          <w:numId w:val="3"/>
        </w:numPr>
        <w:ind w:right="39" w:hanging="360"/>
      </w:pPr>
      <w:r>
        <w:lastRenderedPageBreak/>
        <w:t xml:space="preserve">Experience of work working with public, private voluntary and community sector representatives at a strategic level on multi-million pound projects and programmes </w:t>
      </w:r>
    </w:p>
    <w:p w14:paraId="14D92CAC" w14:textId="77777777" w:rsidR="000C2DE6" w:rsidRDefault="00B305DA">
      <w:pPr>
        <w:numPr>
          <w:ilvl w:val="0"/>
          <w:numId w:val="3"/>
        </w:numPr>
        <w:ind w:right="39" w:hanging="360"/>
      </w:pPr>
      <w:r>
        <w:t xml:space="preserve">Undertake any other duties and responsibilities as may be assigned from time to time, which are commensurate with the grade of the job. </w:t>
      </w:r>
    </w:p>
    <w:p w14:paraId="6A93791B" w14:textId="21DA4731" w:rsidR="000C2DE6" w:rsidRDefault="00B305DA">
      <w:pPr>
        <w:tabs>
          <w:tab w:val="center" w:pos="406"/>
          <w:tab w:val="center" w:pos="720"/>
        </w:tabs>
        <w:spacing w:after="0" w:line="259" w:lineRule="auto"/>
        <w:ind w:left="0" w:righ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Arial" w:eastAsia="Arial" w:hAnsi="Arial" w:cs="Arial"/>
        </w:rPr>
        <w:tab/>
      </w:r>
      <w:r>
        <w:t xml:space="preserve"> </w:t>
      </w:r>
    </w:p>
    <w:p w14:paraId="3699EA9C" w14:textId="77777777" w:rsidR="000C2DE6" w:rsidRDefault="00B305DA">
      <w:pPr>
        <w:spacing w:after="15" w:line="259" w:lineRule="auto"/>
        <w:ind w:left="720" w:right="0" w:firstLine="0"/>
      </w:pPr>
      <w:r>
        <w:t xml:space="preserve"> </w:t>
      </w:r>
    </w:p>
    <w:p w14:paraId="49CA286E" w14:textId="77777777" w:rsidR="000C2DE6" w:rsidRDefault="00B305DA">
      <w:pPr>
        <w:spacing w:after="15" w:line="259" w:lineRule="auto"/>
        <w:ind w:left="720" w:right="0" w:firstLine="0"/>
      </w:pPr>
      <w:r>
        <w:t xml:space="preserve"> </w:t>
      </w:r>
    </w:p>
    <w:p w14:paraId="6B7DE1EB" w14:textId="77777777" w:rsidR="000C2DE6" w:rsidRDefault="00B305DA">
      <w:pPr>
        <w:spacing w:after="5"/>
        <w:ind w:right="39"/>
      </w:pPr>
      <w:r>
        <w:t xml:space="preserve">As this role involves regular travel across the borough and sometimes further afield, a driving licence and access to a vehicle are essential requirements.  Where appropriate, reasonable adjustments will be made in accordance with the provisions of the Equality Act. </w:t>
      </w:r>
    </w:p>
    <w:p w14:paraId="5750EC08" w14:textId="77777777" w:rsidR="000C2DE6" w:rsidRDefault="00B305DA">
      <w:pPr>
        <w:spacing w:after="15" w:line="259" w:lineRule="auto"/>
        <w:ind w:left="0" w:right="0" w:firstLine="0"/>
      </w:pPr>
      <w:r>
        <w:t xml:space="preserve"> </w:t>
      </w:r>
    </w:p>
    <w:p w14:paraId="567BCBE4" w14:textId="77777777" w:rsidR="000C2DE6" w:rsidRDefault="00B305DA">
      <w:pPr>
        <w:spacing w:after="4"/>
        <w:ind w:right="39"/>
      </w:pPr>
      <w:r>
        <w:t xml:space="preserve">The Council and its schools are committed to safeguarding and promoting the welfare of children, young people and adults and expect all staff, workers and volunteers to share its commitment. </w:t>
      </w:r>
    </w:p>
    <w:p w14:paraId="6649D3A0" w14:textId="77777777" w:rsidR="000C2DE6" w:rsidRDefault="00B305DA">
      <w:pPr>
        <w:spacing w:after="0" w:line="259" w:lineRule="auto"/>
        <w:ind w:left="0" w:right="0" w:firstLine="0"/>
        <w:jc w:val="both"/>
      </w:pPr>
      <w:r>
        <w:t xml:space="preserve">  </w:t>
      </w:r>
    </w:p>
    <w:p w14:paraId="39488D3F" w14:textId="77777777" w:rsidR="000C2DE6" w:rsidRDefault="00B305DA">
      <w:pPr>
        <w:spacing w:after="47" w:line="259" w:lineRule="auto"/>
        <w:ind w:left="0" w:right="0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161D9DE0" wp14:editId="093E5B7E">
                <wp:extent cx="5938774" cy="38100"/>
                <wp:effectExtent l="0" t="0" r="0" b="0"/>
                <wp:docPr id="2769" name="Group 27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8774" cy="38100"/>
                          <a:chOff x="0" y="0"/>
                          <a:chExt cx="5938774" cy="38100"/>
                        </a:xfrm>
                      </wpg:grpSpPr>
                      <wps:wsp>
                        <wps:cNvPr id="3485" name="Shape 3485"/>
                        <wps:cNvSpPr/>
                        <wps:spPr>
                          <a:xfrm>
                            <a:off x="0" y="0"/>
                            <a:ext cx="5938774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8774" h="38100">
                                <a:moveTo>
                                  <a:pt x="0" y="0"/>
                                </a:moveTo>
                                <a:lnTo>
                                  <a:pt x="5938774" y="0"/>
                                </a:lnTo>
                                <a:lnTo>
                                  <a:pt x="5938774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B6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69" style="width:467.62pt;height:3pt;mso-position-horizontal-relative:char;mso-position-vertical-relative:line" coordsize="59387,381">
                <v:shape id="Shape 3486" style="position:absolute;width:59387;height:381;left:0;top:0;" coordsize="5938774,38100" path="m0,0l5938774,0l5938774,38100l0,38100l0,0">
                  <v:stroke weight="0pt" endcap="flat" joinstyle="miter" miterlimit="10" on="false" color="#000000" opacity="0"/>
                  <v:fill on="true" color="#1bb6ff"/>
                </v:shape>
              </v:group>
            </w:pict>
          </mc:Fallback>
        </mc:AlternateContent>
      </w:r>
    </w:p>
    <w:p w14:paraId="2F5F87D9" w14:textId="77777777" w:rsidR="000C2DE6" w:rsidRDefault="00B305DA">
      <w:pPr>
        <w:spacing w:after="0" w:line="259" w:lineRule="auto"/>
        <w:ind w:left="0" w:right="0" w:firstLine="0"/>
        <w:jc w:val="both"/>
      </w:pPr>
      <w:r>
        <w:t xml:space="preserve"> </w:t>
      </w:r>
      <w:r>
        <w:tab/>
        <w:t xml:space="preserve"> </w:t>
      </w:r>
    </w:p>
    <w:p w14:paraId="7EEB6120" w14:textId="77777777" w:rsidR="000C2DE6" w:rsidRDefault="00B305DA">
      <w:pPr>
        <w:spacing w:after="0" w:line="343" w:lineRule="auto"/>
        <w:ind w:left="0" w:right="0" w:firstLine="0"/>
      </w:pPr>
      <w:r>
        <w:t xml:space="preserve">  </w:t>
      </w:r>
    </w:p>
    <w:sectPr w:rsidR="000C2DE6">
      <w:pgSz w:w="12240" w:h="15840"/>
      <w:pgMar w:top="1490" w:right="1752" w:bottom="1491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B75A7"/>
    <w:multiLevelType w:val="hybridMultilevel"/>
    <w:tmpl w:val="96F6D06E"/>
    <w:lvl w:ilvl="0" w:tplc="9D0426D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5A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7037B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5A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CA263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5A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040B72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5A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822E2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5A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7B015D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5A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04F19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5A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02F6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5A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9D4B90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5A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7E231C5"/>
    <w:multiLevelType w:val="hybridMultilevel"/>
    <w:tmpl w:val="023C136A"/>
    <w:lvl w:ilvl="0" w:tplc="241227D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5A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686C02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5A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06426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5A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20235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5A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2E4DD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5A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D2AF8D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5A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1AB07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5A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AACA2B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5A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EBE9B8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5A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A194476"/>
    <w:multiLevelType w:val="hybridMultilevel"/>
    <w:tmpl w:val="4D06701C"/>
    <w:lvl w:ilvl="0" w:tplc="5D6A126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5A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6E424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5A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24EAA9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5A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388DC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5A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5EF6E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5A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9B8CC5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5A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944157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5A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096C60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5A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DBA4F9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5A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34520329">
    <w:abstractNumId w:val="1"/>
  </w:num>
  <w:num w:numId="2" w16cid:durableId="1948930063">
    <w:abstractNumId w:val="2"/>
  </w:num>
  <w:num w:numId="3" w16cid:durableId="1138961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DE6"/>
    <w:rsid w:val="000C2DE6"/>
    <w:rsid w:val="00397436"/>
    <w:rsid w:val="00B3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615C2"/>
  <w15:docId w15:val="{BDCC0CCA-73A6-4EA2-9638-562A560B6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2" w:line="269" w:lineRule="auto"/>
      <w:ind w:left="10" w:right="20" w:hanging="10"/>
    </w:pPr>
    <w:rPr>
      <w:rFonts w:ascii="Gill Sans MT" w:eastAsia="Gill Sans MT" w:hAnsi="Gill Sans MT" w:cs="Gill Sans MT"/>
      <w:color w:val="005A84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71" w:line="259" w:lineRule="auto"/>
      <w:outlineLvl w:val="0"/>
    </w:pPr>
    <w:rPr>
      <w:rFonts w:ascii="Gill Sans MT" w:eastAsia="Gill Sans MT" w:hAnsi="Gill Sans MT" w:cs="Gill Sans MT"/>
      <w:b/>
      <w:color w:val="005982"/>
      <w:sz w:val="4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43" w:line="259" w:lineRule="auto"/>
      <w:ind w:left="10" w:hanging="10"/>
      <w:outlineLvl w:val="1"/>
    </w:pPr>
    <w:rPr>
      <w:rFonts w:ascii="Gill Sans MT" w:eastAsia="Gill Sans MT" w:hAnsi="Gill Sans MT" w:cs="Gill Sans MT"/>
      <w:color w:val="005982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Gill Sans MT" w:eastAsia="Gill Sans MT" w:hAnsi="Gill Sans MT" w:cs="Gill Sans MT"/>
      <w:color w:val="005982"/>
      <w:sz w:val="32"/>
    </w:rPr>
  </w:style>
  <w:style w:type="character" w:customStyle="1" w:styleId="Heading1Char">
    <w:name w:val="Heading 1 Char"/>
    <w:link w:val="Heading1"/>
    <w:rPr>
      <w:rFonts w:ascii="Gill Sans MT" w:eastAsia="Gill Sans MT" w:hAnsi="Gill Sans MT" w:cs="Gill Sans MT"/>
      <w:b/>
      <w:color w:val="005982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833CC8DA13494E9DA16A6BA9038179" ma:contentTypeVersion="18" ma:contentTypeDescription="Create a new document." ma:contentTypeScope="" ma:versionID="861c0d5eee2b228cf2f4c6bf88b68ea0">
  <xsd:schema xmlns:xsd="http://www.w3.org/2001/XMLSchema" xmlns:xs="http://www.w3.org/2001/XMLSchema" xmlns:p="http://schemas.microsoft.com/office/2006/metadata/properties" xmlns:ns2="b2b4def9-5c1c-47fe-a6a7-05ab1b07bb73" xmlns:ns3="c5e25ddf-a279-4184-a962-d8230deaebd6" targetNamespace="http://schemas.microsoft.com/office/2006/metadata/properties" ma:root="true" ma:fieldsID="5b9030669ccea6c156cf5d939ebaacc9" ns2:_="" ns3:_="">
    <xsd:import namespace="b2b4def9-5c1c-47fe-a6a7-05ab1b07bb73"/>
    <xsd:import namespace="c5e25ddf-a279-4184-a962-d8230deaeb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date" minOccurs="0"/>
                <xsd:element ref="ns3:MediaServiceLocation" minOccurs="0"/>
                <xsd:element ref="ns3:Dateandtime" minOccurs="0"/>
                <xsd:element ref="ns3:StellaNithiyanjarJonath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4def9-5c1c-47fe-a6a7-05ab1b07bb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330b3f-6a50-460e-aa81-dad350e20ac0}" ma:internalName="TaxCatchAll" ma:showField="CatchAllData" ma:web="b2b4def9-5c1c-47fe-a6a7-05ab1b07b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25ddf-a279-4184-a962-d8230deae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705c3b1-7ce9-4e47-9927-71a36d642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2" nillable="true" ma:displayName="date" ma:format="DateTime" ma:internalName="date">
      <xsd:simpleType>
        <xsd:restriction base="dms:DateTim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  <xsd:element name="StellaNithiyanjarJonathan" ma:index="25" nillable="true" ma:displayName="Stella Nithiyanjar Jonathan" ma:format="Dropdown" ma:internalName="StellaNithiyanjarJonatha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c5e25ddf-a279-4184-a962-d8230deaebd6" xsi:nil="true"/>
    <lcf76f155ced4ddcb4097134ff3c332f xmlns="c5e25ddf-a279-4184-a962-d8230deaebd6">
      <Terms xmlns="http://schemas.microsoft.com/office/infopath/2007/PartnerControls"/>
    </lcf76f155ced4ddcb4097134ff3c332f>
    <StellaNithiyanjarJonathan xmlns="c5e25ddf-a279-4184-a962-d8230deaebd6" xsi:nil="true"/>
    <TaxCatchAll xmlns="b2b4def9-5c1c-47fe-a6a7-05ab1b07bb73" xsi:nil="true"/>
    <Dateandtime xmlns="c5e25ddf-a279-4184-a962-d8230deaebd6" xsi:nil="true"/>
  </documentManagement>
</p:properties>
</file>

<file path=customXml/itemProps1.xml><?xml version="1.0" encoding="utf-8"?>
<ds:datastoreItem xmlns:ds="http://schemas.openxmlformats.org/officeDocument/2006/customXml" ds:itemID="{DC1765EA-9C9B-4005-817E-0AA147F21224}"/>
</file>

<file path=customXml/itemProps2.xml><?xml version="1.0" encoding="utf-8"?>
<ds:datastoreItem xmlns:ds="http://schemas.openxmlformats.org/officeDocument/2006/customXml" ds:itemID="{EECE9682-57D5-484C-A66D-583EAE5736D2}"/>
</file>

<file path=customXml/itemProps3.xml><?xml version="1.0" encoding="utf-8"?>
<ds:datastoreItem xmlns:ds="http://schemas.openxmlformats.org/officeDocument/2006/customXml" ds:itemID="{28C88C24-E381-4175-B81E-78EE170273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820</Words>
  <Characters>4676</Characters>
  <Application>Microsoft Office Word</Application>
  <DocSecurity>0</DocSecurity>
  <Lines>38</Lines>
  <Paragraphs>10</Paragraphs>
  <ScaleCrop>false</ScaleCrop>
  <Company>Customer</Company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Bailey</dc:creator>
  <cp:keywords/>
  <cp:lastModifiedBy>Deborah Bailey</cp:lastModifiedBy>
  <cp:revision>2</cp:revision>
  <dcterms:created xsi:type="dcterms:W3CDTF">2025-04-16T13:55:00Z</dcterms:created>
  <dcterms:modified xsi:type="dcterms:W3CDTF">2025-04-16T13:55:00Z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0x010100E3833CC8DA13494E9DA16A6BA9038179</vt:lpwstr>
  </property>
</Properties>
</file>