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3CCD87FA" w14:textId="77777777" w:rsidTr="006F64DF">
        <w:trPr>
          <w:gridAfter w:val="2"/>
          <w:wAfter w:w="3117" w:type="dxa"/>
          <w:trHeight w:val="1098"/>
        </w:trPr>
        <w:tc>
          <w:tcPr>
            <w:tcW w:w="6390" w:type="dxa"/>
            <w:tcBorders>
              <w:bottom w:val="single" w:sz="24" w:space="0" w:color="1BB6FF" w:themeColor="accent1" w:themeTint="99"/>
            </w:tcBorders>
          </w:tcPr>
          <w:p w14:paraId="623A749E" w14:textId="77777777"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1F514823" wp14:editId="0C4928BB">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08635E">
              <w:rPr>
                <w:b/>
                <w:bCs/>
              </w:rPr>
              <w:t>PRINCIPAL LAWYER</w:t>
            </w:r>
            <w:r w:rsidR="008E4AD8">
              <w:rPr>
                <w:b/>
                <w:bCs/>
              </w:rPr>
              <w:t>-children’s education and adults</w:t>
            </w:r>
          </w:p>
          <w:p w14:paraId="7798C802" w14:textId="7777777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2E4402">
              <w:rPr>
                <w:b/>
                <w:bCs/>
                <w:sz w:val="24"/>
                <w:szCs w:val="24"/>
              </w:rPr>
              <w:t>HBC</w:t>
            </w:r>
            <w:r w:rsidR="001A5EE7">
              <w:rPr>
                <w:b/>
                <w:bCs/>
                <w:sz w:val="24"/>
                <w:szCs w:val="24"/>
              </w:rPr>
              <w:t>1</w:t>
            </w:r>
            <w:r w:rsidR="00B35806">
              <w:rPr>
                <w:b/>
                <w:bCs/>
                <w:sz w:val="24"/>
                <w:szCs w:val="24"/>
              </w:rPr>
              <w:t>1</w:t>
            </w:r>
          </w:p>
        </w:tc>
        <w:tc>
          <w:tcPr>
            <w:tcW w:w="2960" w:type="dxa"/>
            <w:tcBorders>
              <w:bottom w:val="single" w:sz="24" w:space="0" w:color="1BB6FF" w:themeColor="accent1" w:themeTint="99"/>
            </w:tcBorders>
            <w:shd w:val="clear" w:color="auto" w:fill="auto"/>
          </w:tcPr>
          <w:p w14:paraId="3B3DE32C"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5040DEEF" w14:textId="77777777" w:rsidR="00B824D6" w:rsidRPr="00DC65EE" w:rsidRDefault="006F64DF" w:rsidP="00B824D6">
            <w:pPr>
              <w:pStyle w:val="RedText"/>
              <w:tabs>
                <w:tab w:val="left" w:pos="1350"/>
              </w:tabs>
              <w:jc w:val="right"/>
            </w:pPr>
            <w:r w:rsidRPr="006F64DF">
              <w:t>resourcing</w:t>
            </w:r>
            <w:r w:rsidR="00464888" w:rsidRPr="006F64DF">
              <w:t>@halton.gov.uk</w:t>
            </w:r>
          </w:p>
          <w:p w14:paraId="63B54965" w14:textId="77777777" w:rsidR="00372BB5" w:rsidRDefault="00372BB5" w:rsidP="00365C93">
            <w:pPr>
              <w:jc w:val="right"/>
            </w:pPr>
          </w:p>
        </w:tc>
      </w:tr>
      <w:tr w:rsidR="00372BB5" w14:paraId="23F03B41" w14:textId="77777777" w:rsidTr="00464888">
        <w:trPr>
          <w:gridAfter w:val="2"/>
          <w:wAfter w:w="3117" w:type="dxa"/>
        </w:trPr>
        <w:tc>
          <w:tcPr>
            <w:tcW w:w="9350" w:type="dxa"/>
            <w:gridSpan w:val="2"/>
            <w:tcBorders>
              <w:top w:val="single" w:sz="24" w:space="0" w:color="1BB6FF" w:themeColor="accent1" w:themeTint="99"/>
            </w:tcBorders>
          </w:tcPr>
          <w:p w14:paraId="33E644F5" w14:textId="77777777" w:rsidR="00372BB5" w:rsidRDefault="00464888" w:rsidP="00395C1F">
            <w:pPr>
              <w:pStyle w:val="Heading1"/>
              <w:spacing w:line="276" w:lineRule="auto"/>
            </w:pPr>
            <w:r w:rsidRPr="00464888">
              <w:rPr>
                <w:lang w:val="en-GB"/>
              </w:rPr>
              <w:t>Working at Halton</w:t>
            </w:r>
          </w:p>
        </w:tc>
      </w:tr>
      <w:tr w:rsidR="00365C93" w14:paraId="6538FA79" w14:textId="77777777" w:rsidTr="00464888">
        <w:trPr>
          <w:gridAfter w:val="2"/>
          <w:wAfter w:w="3117" w:type="dxa"/>
        </w:trPr>
        <w:tc>
          <w:tcPr>
            <w:tcW w:w="9350" w:type="dxa"/>
            <w:gridSpan w:val="2"/>
            <w:tcBorders>
              <w:bottom w:val="single" w:sz="24" w:space="0" w:color="1BB6FF" w:themeColor="accent1" w:themeTint="99"/>
            </w:tcBorders>
          </w:tcPr>
          <w:p w14:paraId="521DF4B2"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62412076"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778739DD"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9C3BBD0"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0508DD07" w14:textId="77777777" w:rsidR="00C6483A" w:rsidRDefault="00C6483A" w:rsidP="00C6483A">
            <w:pPr>
              <w:numPr>
                <w:ilvl w:val="0"/>
                <w:numId w:val="8"/>
              </w:numPr>
              <w:spacing w:line="276" w:lineRule="auto"/>
            </w:pPr>
            <w:r w:rsidRPr="00C6483A">
              <w:t>Accountability – doing what we say we are going to do</w:t>
            </w:r>
          </w:p>
          <w:p w14:paraId="40140D71" w14:textId="77777777"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5C546EDB" w14:textId="77777777" w:rsidR="00C6483A" w:rsidRDefault="00C6483A" w:rsidP="00C6483A">
            <w:pPr>
              <w:spacing w:line="276" w:lineRule="auto"/>
              <w:rPr>
                <w:i/>
                <w:iCs/>
              </w:rPr>
            </w:pPr>
          </w:p>
          <w:p w14:paraId="2E2DBA5A" w14:textId="77777777"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2B52CCAA" w14:textId="77777777" w:rsidR="00464888" w:rsidRPr="00464888" w:rsidRDefault="00464888" w:rsidP="00395C1F">
            <w:pPr>
              <w:spacing w:line="276" w:lineRule="auto"/>
              <w:rPr>
                <w:i/>
                <w:iCs/>
              </w:rPr>
            </w:pPr>
          </w:p>
          <w:p w14:paraId="2282518D"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7C7F661C" w14:textId="77777777" w:rsidR="00464888" w:rsidRPr="00464888" w:rsidRDefault="00464888" w:rsidP="00395C1F">
            <w:pPr>
              <w:spacing w:line="276" w:lineRule="auto"/>
              <w:rPr>
                <w:b/>
                <w:bCs/>
              </w:rPr>
            </w:pPr>
          </w:p>
          <w:p w14:paraId="3E7D42D9" w14:textId="77777777" w:rsidR="00C6483A" w:rsidRPr="00C6483A" w:rsidRDefault="00C6483A" w:rsidP="00C6483A">
            <w:pPr>
              <w:spacing w:line="276" w:lineRule="auto"/>
            </w:pPr>
            <w:r w:rsidRPr="00C6483A">
              <w:t>Aside from working with a great team, our employees have access to a fantastic range of benefits, including:</w:t>
            </w:r>
          </w:p>
          <w:p w14:paraId="667A5047"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7D669EA3"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64E0D42A" w14:textId="77777777" w:rsidR="00C6483A" w:rsidRPr="00C6483A" w:rsidRDefault="00C6483A" w:rsidP="00C6483A">
            <w:pPr>
              <w:numPr>
                <w:ilvl w:val="0"/>
                <w:numId w:val="9"/>
              </w:numPr>
              <w:spacing w:line="276" w:lineRule="auto"/>
            </w:pPr>
            <w:r w:rsidRPr="00C6483A">
              <w:t>3 x Salary Life Cover via Local Government Pension Scheme</w:t>
            </w:r>
          </w:p>
          <w:p w14:paraId="20384054" w14:textId="77777777" w:rsidR="00C6483A" w:rsidRPr="00C6483A" w:rsidRDefault="00C6483A" w:rsidP="00C6483A">
            <w:pPr>
              <w:numPr>
                <w:ilvl w:val="0"/>
                <w:numId w:val="9"/>
              </w:numPr>
              <w:spacing w:line="276" w:lineRule="auto"/>
            </w:pPr>
            <w:r w:rsidRPr="00C6483A">
              <w:t xml:space="preserve">Investment in your personal development </w:t>
            </w:r>
          </w:p>
          <w:p w14:paraId="29088DAA" w14:textId="77777777" w:rsidR="00C6483A" w:rsidRPr="00C6483A" w:rsidRDefault="00C6483A" w:rsidP="00C6483A">
            <w:pPr>
              <w:numPr>
                <w:ilvl w:val="0"/>
                <w:numId w:val="9"/>
              </w:numPr>
              <w:spacing w:line="276" w:lineRule="auto"/>
            </w:pPr>
            <w:r w:rsidRPr="00C6483A">
              <w:t xml:space="preserve">Free Car Parking at HBC sites </w:t>
            </w:r>
          </w:p>
          <w:p w14:paraId="482F809C" w14:textId="77777777" w:rsidR="00C6483A" w:rsidRPr="00C6483A" w:rsidRDefault="00C6483A" w:rsidP="00C6483A">
            <w:pPr>
              <w:numPr>
                <w:ilvl w:val="0"/>
                <w:numId w:val="9"/>
              </w:numPr>
              <w:spacing w:line="276" w:lineRule="auto"/>
            </w:pPr>
            <w:r w:rsidRPr="00C6483A">
              <w:t xml:space="preserve">Flexible / hybrid working arrangements available </w:t>
            </w:r>
          </w:p>
          <w:p w14:paraId="6165AFF2" w14:textId="77777777" w:rsidR="00AF536B" w:rsidRDefault="00C6483A" w:rsidP="00C6483A">
            <w:pPr>
              <w:numPr>
                <w:ilvl w:val="0"/>
                <w:numId w:val="9"/>
              </w:numPr>
              <w:spacing w:line="276" w:lineRule="auto"/>
            </w:pPr>
            <w:r w:rsidRPr="00C6483A">
              <w:t>Car leasing schemes</w:t>
            </w:r>
          </w:p>
          <w:p w14:paraId="151BB780" w14:textId="77777777" w:rsidR="00C6483A" w:rsidRPr="00C6483A" w:rsidRDefault="00C3543B" w:rsidP="00C6483A">
            <w:pPr>
              <w:numPr>
                <w:ilvl w:val="0"/>
                <w:numId w:val="9"/>
              </w:numPr>
              <w:spacing w:line="276" w:lineRule="auto"/>
            </w:pPr>
            <w:r>
              <w:t>Essential Monthly Car User Allowance</w:t>
            </w:r>
          </w:p>
          <w:p w14:paraId="635B6225" w14:textId="77777777" w:rsidR="00C6483A" w:rsidRDefault="00C6483A" w:rsidP="00C6483A">
            <w:pPr>
              <w:spacing w:line="276" w:lineRule="auto"/>
              <w:rPr>
                <w:i/>
                <w:iCs/>
              </w:rPr>
            </w:pPr>
          </w:p>
          <w:p w14:paraId="43D10B92"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45B5A99E" w14:textId="77777777" w:rsidR="00365C93" w:rsidRDefault="00365C93" w:rsidP="00395C1F">
            <w:pPr>
              <w:spacing w:line="276" w:lineRule="auto"/>
            </w:pPr>
          </w:p>
        </w:tc>
      </w:tr>
      <w:tr w:rsidR="00365C93" w:rsidRPr="009068D0" w14:paraId="21CB5DFD" w14:textId="77777777" w:rsidTr="00464888">
        <w:trPr>
          <w:gridAfter w:val="2"/>
          <w:wAfter w:w="3117" w:type="dxa"/>
        </w:trPr>
        <w:tc>
          <w:tcPr>
            <w:tcW w:w="9350" w:type="dxa"/>
            <w:gridSpan w:val="2"/>
            <w:tcBorders>
              <w:top w:val="single" w:sz="24" w:space="0" w:color="1BB6FF" w:themeColor="accent1" w:themeTint="99"/>
            </w:tcBorders>
          </w:tcPr>
          <w:p w14:paraId="55EDD942" w14:textId="77777777" w:rsidR="00A27909" w:rsidRPr="00DD6156" w:rsidRDefault="00464888" w:rsidP="00A27909">
            <w:pPr>
              <w:pStyle w:val="Heading1"/>
              <w:spacing w:line="360" w:lineRule="auto"/>
              <w:rPr>
                <w:rFonts w:cs="Arial"/>
                <w:lang w:val="en-GB"/>
              </w:rPr>
            </w:pPr>
            <w:r w:rsidRPr="00DD6156">
              <w:rPr>
                <w:rFonts w:cs="Arial"/>
                <w:lang w:val="en-GB"/>
              </w:rPr>
              <w:lastRenderedPageBreak/>
              <w:t xml:space="preserve">About the Job </w:t>
            </w:r>
          </w:p>
          <w:p w14:paraId="20B4A8FF" w14:textId="77777777" w:rsidR="003C2CB9" w:rsidRPr="00DD6156" w:rsidRDefault="004D5BE8" w:rsidP="00EC325D">
            <w:pPr>
              <w:jc w:val="both"/>
              <w:rPr>
                <w:rFonts w:asciiTheme="majorHAnsi" w:hAnsiTheme="majorHAnsi" w:cs="Arial"/>
                <w:szCs w:val="20"/>
              </w:rPr>
            </w:pPr>
            <w:r w:rsidRPr="00DD6156">
              <w:rPr>
                <w:rFonts w:asciiTheme="majorHAnsi" w:hAnsiTheme="majorHAnsi" w:cs="Arial"/>
                <w:lang w:val="en-GB"/>
              </w:rPr>
              <w:t xml:space="preserve">Our Legal Services Directorate </w:t>
            </w:r>
            <w:r w:rsidR="00EC325D" w:rsidRPr="00DD6156">
              <w:rPr>
                <w:rFonts w:asciiTheme="majorHAnsi" w:hAnsiTheme="majorHAnsi" w:cs="Arial"/>
                <w:szCs w:val="20"/>
              </w:rPr>
              <w:t>ensures that H</w:t>
            </w:r>
            <w:r w:rsidR="00495D4C" w:rsidRPr="00DD6156">
              <w:rPr>
                <w:rFonts w:asciiTheme="majorHAnsi" w:hAnsiTheme="majorHAnsi" w:cs="Arial"/>
                <w:szCs w:val="20"/>
              </w:rPr>
              <w:t xml:space="preserve">alton </w:t>
            </w:r>
            <w:r w:rsidR="00EC325D" w:rsidRPr="00DD6156">
              <w:rPr>
                <w:rFonts w:asciiTheme="majorHAnsi" w:hAnsiTheme="majorHAnsi" w:cs="Arial"/>
                <w:szCs w:val="20"/>
              </w:rPr>
              <w:t>B</w:t>
            </w:r>
            <w:r w:rsidR="00495D4C" w:rsidRPr="00DD6156">
              <w:rPr>
                <w:rFonts w:asciiTheme="majorHAnsi" w:hAnsiTheme="majorHAnsi" w:cs="Arial"/>
                <w:szCs w:val="20"/>
              </w:rPr>
              <w:t xml:space="preserve">orough </w:t>
            </w:r>
            <w:r w:rsidR="00EC325D" w:rsidRPr="00DD6156">
              <w:rPr>
                <w:rFonts w:asciiTheme="majorHAnsi" w:hAnsiTheme="majorHAnsi" w:cs="Arial"/>
                <w:szCs w:val="20"/>
              </w:rPr>
              <w:t>C</w:t>
            </w:r>
            <w:r w:rsidR="00495D4C" w:rsidRPr="00DD6156">
              <w:rPr>
                <w:rFonts w:asciiTheme="majorHAnsi" w:hAnsiTheme="majorHAnsi" w:cs="Arial"/>
                <w:szCs w:val="20"/>
              </w:rPr>
              <w:t>ouncil</w:t>
            </w:r>
            <w:r w:rsidR="00EC325D" w:rsidRPr="00DD6156">
              <w:rPr>
                <w:rFonts w:asciiTheme="majorHAnsi" w:hAnsiTheme="majorHAnsi" w:cs="Arial"/>
                <w:szCs w:val="20"/>
              </w:rPr>
              <w:t xml:space="preserve"> and its interests are protected by providing legal, corporate, and constitutional advice, and support at all levels. </w:t>
            </w:r>
          </w:p>
          <w:p w14:paraId="4DC40751" w14:textId="77777777" w:rsidR="003C2CB9" w:rsidRPr="00DD6156" w:rsidRDefault="003C2CB9" w:rsidP="00EC325D">
            <w:pPr>
              <w:jc w:val="both"/>
              <w:rPr>
                <w:rFonts w:asciiTheme="majorHAnsi" w:hAnsiTheme="majorHAnsi" w:cs="Arial"/>
                <w:szCs w:val="20"/>
              </w:rPr>
            </w:pPr>
          </w:p>
          <w:p w14:paraId="74598F9B" w14:textId="77777777" w:rsidR="008D195A" w:rsidRDefault="008D195A" w:rsidP="008D195A">
            <w:pPr>
              <w:jc w:val="both"/>
              <w:rPr>
                <w:rFonts w:asciiTheme="majorHAnsi" w:hAnsiTheme="majorHAnsi" w:cs="Arial"/>
                <w:szCs w:val="20"/>
              </w:rPr>
            </w:pPr>
            <w:r w:rsidRPr="009068D0">
              <w:rPr>
                <w:rFonts w:asciiTheme="majorHAnsi" w:hAnsiTheme="majorHAnsi" w:cs="Arial"/>
                <w:szCs w:val="20"/>
              </w:rPr>
              <w:t xml:space="preserve">Legal Services provides a full range of services to HBC, advising on both contentious business, such as </w:t>
            </w:r>
            <w:r>
              <w:rPr>
                <w:rFonts w:asciiTheme="majorHAnsi" w:hAnsiTheme="majorHAnsi" w:cs="Arial"/>
                <w:szCs w:val="20"/>
              </w:rPr>
              <w:t>Children’s and Adults Social Care, A</w:t>
            </w:r>
            <w:r w:rsidRPr="009068D0">
              <w:rPr>
                <w:rFonts w:asciiTheme="majorHAnsi" w:hAnsiTheme="majorHAnsi" w:cs="Arial"/>
                <w:szCs w:val="20"/>
              </w:rPr>
              <w:t>nti-</w:t>
            </w:r>
            <w:r>
              <w:rPr>
                <w:rFonts w:asciiTheme="majorHAnsi" w:hAnsiTheme="majorHAnsi" w:cs="Arial"/>
                <w:szCs w:val="20"/>
              </w:rPr>
              <w:t>S</w:t>
            </w:r>
            <w:r w:rsidRPr="009068D0">
              <w:rPr>
                <w:rFonts w:asciiTheme="majorHAnsi" w:hAnsiTheme="majorHAnsi" w:cs="Arial"/>
                <w:szCs w:val="20"/>
              </w:rPr>
              <w:t xml:space="preserve">ocial </w:t>
            </w:r>
            <w:r>
              <w:rPr>
                <w:rFonts w:asciiTheme="majorHAnsi" w:hAnsiTheme="majorHAnsi" w:cs="Arial"/>
                <w:szCs w:val="20"/>
              </w:rPr>
              <w:t>B</w:t>
            </w:r>
            <w:r w:rsidRPr="009068D0">
              <w:rPr>
                <w:rFonts w:asciiTheme="majorHAnsi" w:hAnsiTheme="majorHAnsi" w:cs="Arial"/>
                <w:szCs w:val="20"/>
              </w:rPr>
              <w:t>ehaviour, prosecutions, licensing, contractual disputes, debt recovery, and non-contentious business, including planning, asset management work</w:t>
            </w:r>
            <w:r>
              <w:rPr>
                <w:rFonts w:asciiTheme="majorHAnsi" w:hAnsiTheme="majorHAnsi" w:cs="Arial"/>
                <w:szCs w:val="20"/>
              </w:rPr>
              <w:t>,</w:t>
            </w:r>
            <w:r w:rsidRPr="009068D0">
              <w:rPr>
                <w:rFonts w:asciiTheme="majorHAnsi" w:hAnsiTheme="majorHAnsi" w:cs="Arial"/>
                <w:szCs w:val="20"/>
              </w:rPr>
              <w:t xml:space="preserve"> and acquisitions.  </w:t>
            </w:r>
          </w:p>
          <w:p w14:paraId="2AE71DB4" w14:textId="77777777" w:rsidR="000720DC" w:rsidRPr="00DD6156" w:rsidRDefault="000720DC" w:rsidP="00150B81">
            <w:pPr>
              <w:jc w:val="both"/>
              <w:rPr>
                <w:rFonts w:asciiTheme="majorHAnsi" w:hAnsiTheme="majorHAnsi" w:cs="Arial"/>
                <w:szCs w:val="20"/>
              </w:rPr>
            </w:pPr>
          </w:p>
          <w:p w14:paraId="7F6B478C" w14:textId="23CF9B19" w:rsidR="000720DC" w:rsidRPr="00DD6156" w:rsidRDefault="00387836" w:rsidP="000720DC">
            <w:pPr>
              <w:jc w:val="both"/>
              <w:rPr>
                <w:rFonts w:asciiTheme="majorHAnsi" w:hAnsiTheme="majorHAnsi" w:cs="Arial"/>
              </w:rPr>
            </w:pPr>
            <w:r w:rsidRPr="00DD6156">
              <w:rPr>
                <w:rFonts w:asciiTheme="majorHAnsi" w:hAnsiTheme="majorHAnsi" w:cs="Arial"/>
              </w:rPr>
              <w:t>Our</w:t>
            </w:r>
            <w:r w:rsidR="000720DC" w:rsidRPr="00DD6156">
              <w:rPr>
                <w:rFonts w:asciiTheme="majorHAnsi" w:hAnsiTheme="majorHAnsi" w:cs="Arial"/>
              </w:rPr>
              <w:t xml:space="preserve"> Senior </w:t>
            </w:r>
            <w:r w:rsidR="003810F0">
              <w:rPr>
                <w:rFonts w:asciiTheme="majorHAnsi" w:hAnsiTheme="majorHAnsi" w:cs="Arial"/>
              </w:rPr>
              <w:t>Lawyer</w:t>
            </w:r>
            <w:r w:rsidR="000720DC" w:rsidRPr="00DD6156">
              <w:rPr>
                <w:rFonts w:asciiTheme="majorHAnsi" w:hAnsiTheme="majorHAnsi" w:cs="Arial"/>
              </w:rPr>
              <w:t xml:space="preserve"> will be instrumental in ensuring the service provided is of a consistently high quality</w:t>
            </w:r>
            <w:r w:rsidRPr="00DD6156">
              <w:rPr>
                <w:rFonts w:asciiTheme="majorHAnsi" w:hAnsiTheme="majorHAnsi" w:cs="Arial"/>
              </w:rPr>
              <w:t xml:space="preserve">, is </w:t>
            </w:r>
            <w:r w:rsidR="000720DC" w:rsidRPr="00DD6156">
              <w:rPr>
                <w:rFonts w:asciiTheme="majorHAnsi" w:hAnsiTheme="majorHAnsi" w:cs="Arial"/>
              </w:rPr>
              <w:t>client facing</w:t>
            </w:r>
            <w:r w:rsidR="003907A9" w:rsidRPr="00DD6156">
              <w:rPr>
                <w:rFonts w:asciiTheme="majorHAnsi" w:hAnsiTheme="majorHAnsi" w:cs="Arial"/>
              </w:rPr>
              <w:t>, and</w:t>
            </w:r>
            <w:r w:rsidR="000720DC" w:rsidRPr="00DD6156">
              <w:rPr>
                <w:rFonts w:asciiTheme="majorHAnsi" w:hAnsiTheme="majorHAnsi" w:cs="Arial"/>
              </w:rPr>
              <w:t xml:space="preserve"> regularly meet</w:t>
            </w:r>
            <w:r w:rsidRPr="00DD6156">
              <w:rPr>
                <w:rFonts w:asciiTheme="majorHAnsi" w:hAnsiTheme="majorHAnsi" w:cs="Arial"/>
              </w:rPr>
              <w:t>s</w:t>
            </w:r>
            <w:r w:rsidR="000720DC" w:rsidRPr="00DD6156">
              <w:rPr>
                <w:rFonts w:asciiTheme="majorHAnsi" w:hAnsiTheme="majorHAnsi" w:cs="Arial"/>
              </w:rPr>
              <w:t xml:space="preserve"> with key clients</w:t>
            </w:r>
            <w:r w:rsidR="00323C52" w:rsidRPr="00DD6156">
              <w:rPr>
                <w:rFonts w:asciiTheme="majorHAnsi" w:hAnsiTheme="majorHAnsi" w:cs="Arial"/>
              </w:rPr>
              <w:t>,</w:t>
            </w:r>
            <w:r w:rsidR="000720DC" w:rsidRPr="00DD6156">
              <w:rPr>
                <w:rFonts w:asciiTheme="majorHAnsi" w:hAnsiTheme="majorHAnsi" w:cs="Arial"/>
              </w:rPr>
              <w:t xml:space="preserve"> and external partners to discuss service delivery.</w:t>
            </w:r>
          </w:p>
          <w:p w14:paraId="51A4B8CC" w14:textId="77777777" w:rsidR="000720DC" w:rsidRPr="00DD6156" w:rsidRDefault="000720DC" w:rsidP="000720DC">
            <w:pPr>
              <w:jc w:val="both"/>
              <w:rPr>
                <w:rFonts w:asciiTheme="majorHAnsi" w:hAnsiTheme="majorHAnsi" w:cs="Arial"/>
              </w:rPr>
            </w:pPr>
          </w:p>
          <w:p w14:paraId="37525C87" w14:textId="687568C6" w:rsidR="000720DC" w:rsidRPr="00DD6156" w:rsidRDefault="00323C52" w:rsidP="000720DC">
            <w:pPr>
              <w:jc w:val="both"/>
              <w:rPr>
                <w:rFonts w:asciiTheme="majorHAnsi" w:hAnsiTheme="majorHAnsi" w:cs="Arial"/>
              </w:rPr>
            </w:pPr>
            <w:r w:rsidRPr="00DD6156">
              <w:rPr>
                <w:rFonts w:asciiTheme="majorHAnsi" w:hAnsiTheme="majorHAnsi" w:cs="Arial"/>
              </w:rPr>
              <w:t xml:space="preserve">Our Senior </w:t>
            </w:r>
            <w:r w:rsidR="003810F0">
              <w:rPr>
                <w:rFonts w:asciiTheme="majorHAnsi" w:hAnsiTheme="majorHAnsi" w:cs="Arial"/>
              </w:rPr>
              <w:t>Lawyer</w:t>
            </w:r>
            <w:r w:rsidR="000720DC" w:rsidRPr="00DD6156">
              <w:rPr>
                <w:rFonts w:asciiTheme="majorHAnsi" w:hAnsiTheme="majorHAnsi" w:cs="Arial"/>
              </w:rPr>
              <w:t xml:space="preserve"> will support, oversee, develop and motivate the team to enable them to reach their full potential and realise their career goals.</w:t>
            </w:r>
          </w:p>
          <w:p w14:paraId="6DB46887" w14:textId="77777777" w:rsidR="000720DC" w:rsidRPr="00DD6156" w:rsidRDefault="000720DC" w:rsidP="000720DC">
            <w:pPr>
              <w:jc w:val="both"/>
              <w:rPr>
                <w:rFonts w:asciiTheme="majorHAnsi" w:hAnsiTheme="majorHAnsi" w:cs="Arial"/>
              </w:rPr>
            </w:pPr>
          </w:p>
          <w:p w14:paraId="3D1AF9CE" w14:textId="720C6620" w:rsidR="000720DC" w:rsidRPr="00DD6156" w:rsidRDefault="00323C52" w:rsidP="000720DC">
            <w:pPr>
              <w:jc w:val="both"/>
              <w:rPr>
                <w:rFonts w:asciiTheme="majorHAnsi" w:hAnsiTheme="majorHAnsi" w:cs="Arial"/>
              </w:rPr>
            </w:pPr>
            <w:r w:rsidRPr="00DD6156">
              <w:rPr>
                <w:rFonts w:asciiTheme="majorHAnsi" w:hAnsiTheme="majorHAnsi" w:cs="Arial"/>
              </w:rPr>
              <w:t xml:space="preserve">Our Senior </w:t>
            </w:r>
            <w:r w:rsidR="003810F0">
              <w:rPr>
                <w:rFonts w:asciiTheme="majorHAnsi" w:hAnsiTheme="majorHAnsi" w:cs="Arial"/>
              </w:rPr>
              <w:t>Lawyer</w:t>
            </w:r>
            <w:r w:rsidRPr="00DD6156">
              <w:rPr>
                <w:rFonts w:asciiTheme="majorHAnsi" w:hAnsiTheme="majorHAnsi" w:cs="Arial"/>
              </w:rPr>
              <w:t xml:space="preserve"> </w:t>
            </w:r>
            <w:r w:rsidR="000720DC" w:rsidRPr="00DD6156">
              <w:rPr>
                <w:rFonts w:asciiTheme="majorHAnsi" w:hAnsiTheme="majorHAnsi" w:cs="Arial"/>
              </w:rPr>
              <w:t>will also contribute to the maintenance and development of Practice Standards across Legal Services.</w:t>
            </w:r>
          </w:p>
          <w:p w14:paraId="4EEE29EE" w14:textId="77777777" w:rsidR="00150B81" w:rsidRPr="00DD6156" w:rsidRDefault="00150B81" w:rsidP="00323C52">
            <w:pPr>
              <w:jc w:val="both"/>
              <w:rPr>
                <w:rFonts w:asciiTheme="majorHAnsi" w:hAnsiTheme="majorHAnsi" w:cs="Arial"/>
                <w:lang w:val="en-GB"/>
              </w:rPr>
            </w:pPr>
          </w:p>
        </w:tc>
      </w:tr>
      <w:tr w:rsidR="007C62D4" w:rsidRPr="009068D0" w14:paraId="23CC30A2" w14:textId="77777777" w:rsidTr="00464888">
        <w:trPr>
          <w:gridAfter w:val="2"/>
          <w:wAfter w:w="3117" w:type="dxa"/>
        </w:trPr>
        <w:tc>
          <w:tcPr>
            <w:tcW w:w="9350" w:type="dxa"/>
            <w:gridSpan w:val="2"/>
          </w:tcPr>
          <w:p w14:paraId="11E1742D" w14:textId="77777777" w:rsidR="007807FB" w:rsidRPr="00DD6156" w:rsidRDefault="007807FB" w:rsidP="003329C7">
            <w:pPr>
              <w:spacing w:line="276" w:lineRule="auto"/>
              <w:rPr>
                <w:rFonts w:asciiTheme="majorHAnsi" w:hAnsiTheme="majorHAnsi" w:cs="Arial"/>
                <w:szCs w:val="20"/>
              </w:rPr>
            </w:pPr>
            <w:r w:rsidRPr="00DD6156">
              <w:rPr>
                <w:rFonts w:asciiTheme="majorHAnsi" w:hAnsiTheme="majorHAnsi" w:cs="Arial"/>
                <w:szCs w:val="20"/>
              </w:rPr>
              <w:t>More specific responsibilities include</w:t>
            </w:r>
            <w:r w:rsidR="002A0AC2" w:rsidRPr="00DD6156">
              <w:rPr>
                <w:rFonts w:asciiTheme="majorHAnsi" w:hAnsiTheme="majorHAnsi" w:cs="Arial"/>
                <w:szCs w:val="20"/>
              </w:rPr>
              <w:t>:</w:t>
            </w:r>
          </w:p>
          <w:p w14:paraId="11329DD8" w14:textId="77777777" w:rsidR="00EE1749" w:rsidRPr="00DD6156" w:rsidRDefault="006562AA" w:rsidP="00740E56">
            <w:pPr>
              <w:numPr>
                <w:ilvl w:val="0"/>
                <w:numId w:val="9"/>
              </w:numPr>
              <w:spacing w:line="276" w:lineRule="auto"/>
              <w:jc w:val="both"/>
              <w:rPr>
                <w:rFonts w:asciiTheme="majorHAnsi" w:hAnsiTheme="majorHAnsi" w:cs="Arial"/>
                <w:szCs w:val="20"/>
              </w:rPr>
            </w:pPr>
            <w:r w:rsidRPr="00DD6156">
              <w:rPr>
                <w:rFonts w:asciiTheme="majorHAnsi" w:hAnsiTheme="majorHAnsi" w:cs="Arial"/>
              </w:rPr>
              <w:t>Providing a comprehensive legal service to colleagues throughout the Council, and to the Council’s wholly owned subsidiary companies.</w:t>
            </w:r>
          </w:p>
          <w:p w14:paraId="5DDE237C" w14:textId="77777777" w:rsidR="008167AB" w:rsidRPr="00DD6156" w:rsidRDefault="00A707B9"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Being responsible for your work as allocated, always ensuring value for money for the Council, communicating with the client and working to high in-house standards.</w:t>
            </w:r>
          </w:p>
          <w:p w14:paraId="2E0438D8" w14:textId="77777777" w:rsidR="00A707B9" w:rsidRPr="00DD6156" w:rsidRDefault="00225579"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Providing complex legal advice to clients on a variety of matters.</w:t>
            </w:r>
          </w:p>
          <w:p w14:paraId="7305866A" w14:textId="77777777" w:rsidR="00225579" w:rsidRPr="00DD6156" w:rsidRDefault="00822662"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Undertaking legal input into strategic legal advice and risk, including drafting Cabinet and Committee reports and attendance at meetings where required.</w:t>
            </w:r>
          </w:p>
          <w:p w14:paraId="36028971" w14:textId="77777777" w:rsidR="00822662" w:rsidRPr="00DD6156" w:rsidRDefault="00D5014B"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Undertaking advocacy on cases where appropriate, including contested hearings.</w:t>
            </w:r>
          </w:p>
          <w:p w14:paraId="1A5F947C" w14:textId="77777777" w:rsidR="00D5014B" w:rsidRPr="00DD6156" w:rsidRDefault="00F32054"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Communicating effectively with elected members and other partners/stakeholders.</w:t>
            </w:r>
          </w:p>
          <w:p w14:paraId="5FD02A1E" w14:textId="77777777" w:rsidR="00F32054" w:rsidRPr="00DD6156" w:rsidRDefault="0089178E"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Collaborating constructively with partner organisations and other stakeholders including internal services and colleagues.</w:t>
            </w:r>
          </w:p>
          <w:p w14:paraId="4FECAF44" w14:textId="77777777" w:rsidR="0089178E" w:rsidRPr="00DD6156" w:rsidRDefault="008C7185"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bCs/>
              </w:rPr>
              <w:t>Building a culture of trust in your team.</w:t>
            </w:r>
          </w:p>
          <w:p w14:paraId="460CB2E6" w14:textId="77777777" w:rsidR="008C7185" w:rsidRPr="00DD6156" w:rsidRDefault="003F1572"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Leading, managing and motivating the team to deliver high performance.</w:t>
            </w:r>
          </w:p>
          <w:p w14:paraId="7037EA4F" w14:textId="77777777" w:rsidR="003F1572" w:rsidRPr="00DD6156" w:rsidRDefault="00184606"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Ensuring the corporate/directorate HR practices are understood and implemented within your service.</w:t>
            </w:r>
          </w:p>
          <w:p w14:paraId="2C24C0DA" w14:textId="77777777" w:rsidR="00184606" w:rsidRPr="00DD6156" w:rsidRDefault="001220E2"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Monitoring budgets and external expenditure within your area ensuring effective cost management and prioritisation.</w:t>
            </w:r>
          </w:p>
          <w:p w14:paraId="19073142" w14:textId="77777777" w:rsidR="001220E2" w:rsidRPr="00DD6156" w:rsidRDefault="008C7A00"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Monitoring and evaluating your team’s performance and recommend areas for improvement based on evidence.</w:t>
            </w:r>
          </w:p>
          <w:p w14:paraId="43F95E15" w14:textId="77777777" w:rsidR="008C7A00" w:rsidRPr="00DD6156" w:rsidRDefault="00B30133"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Recommend areas for service improvement based on relevant data and information.</w:t>
            </w:r>
          </w:p>
          <w:p w14:paraId="509B32CE" w14:textId="77777777" w:rsidR="00B30133" w:rsidRPr="00586BBF" w:rsidRDefault="00B01D5F" w:rsidP="00635BF6">
            <w:pPr>
              <w:numPr>
                <w:ilvl w:val="0"/>
                <w:numId w:val="9"/>
              </w:numPr>
              <w:spacing w:line="276" w:lineRule="auto"/>
              <w:jc w:val="both"/>
              <w:rPr>
                <w:rFonts w:asciiTheme="majorHAnsi" w:hAnsiTheme="majorHAnsi" w:cs="Arial"/>
                <w:szCs w:val="20"/>
              </w:rPr>
            </w:pPr>
            <w:r w:rsidRPr="00DD6156">
              <w:rPr>
                <w:rFonts w:asciiTheme="majorHAnsi" w:hAnsiTheme="majorHAnsi" w:cs="Arial"/>
              </w:rPr>
              <w:t>Coaching and supporting staff to develop.</w:t>
            </w:r>
          </w:p>
          <w:p w14:paraId="6CF8E73E" w14:textId="77777777" w:rsidR="00586BBF" w:rsidRPr="00DD6156" w:rsidRDefault="008207D2" w:rsidP="00635BF6">
            <w:pPr>
              <w:numPr>
                <w:ilvl w:val="0"/>
                <w:numId w:val="9"/>
              </w:numPr>
              <w:spacing w:line="276" w:lineRule="auto"/>
              <w:jc w:val="both"/>
              <w:rPr>
                <w:rFonts w:asciiTheme="majorHAnsi" w:hAnsiTheme="majorHAnsi" w:cs="Arial"/>
                <w:szCs w:val="20"/>
              </w:rPr>
            </w:pPr>
            <w:r>
              <w:rPr>
                <w:rFonts w:asciiTheme="majorHAnsi" w:hAnsiTheme="majorHAnsi" w:cs="Arial"/>
                <w:szCs w:val="20"/>
              </w:rPr>
              <w:t>U</w:t>
            </w:r>
            <w:r w:rsidR="00586BBF" w:rsidRPr="00003271">
              <w:rPr>
                <w:rFonts w:asciiTheme="majorHAnsi" w:hAnsiTheme="majorHAnsi" w:cs="Arial"/>
                <w:szCs w:val="20"/>
              </w:rPr>
              <w:t>ndertak</w:t>
            </w:r>
            <w:r>
              <w:rPr>
                <w:rFonts w:asciiTheme="majorHAnsi" w:hAnsiTheme="majorHAnsi" w:cs="Arial"/>
                <w:szCs w:val="20"/>
              </w:rPr>
              <w:t>ing</w:t>
            </w:r>
            <w:r w:rsidR="00586BBF" w:rsidRPr="00003271">
              <w:rPr>
                <w:rFonts w:asciiTheme="majorHAnsi" w:hAnsiTheme="majorHAnsi" w:cs="Arial"/>
                <w:szCs w:val="20"/>
              </w:rPr>
              <w:t xml:space="preserve"> any other duties and responsibilities as may be assigned from time to time which are commensurate with the grade of the job.</w:t>
            </w:r>
          </w:p>
        </w:tc>
      </w:tr>
      <w:tr w:rsidR="00E65373" w:rsidRPr="009068D0" w14:paraId="21E9CD38" w14:textId="77777777" w:rsidTr="00464888">
        <w:trPr>
          <w:gridAfter w:val="2"/>
          <w:wAfter w:w="3117" w:type="dxa"/>
        </w:trPr>
        <w:tc>
          <w:tcPr>
            <w:tcW w:w="9350" w:type="dxa"/>
            <w:gridSpan w:val="2"/>
          </w:tcPr>
          <w:p w14:paraId="6B727B1C" w14:textId="77777777" w:rsidR="00E65373" w:rsidRPr="009068D0" w:rsidRDefault="00E65373" w:rsidP="00B70CCE">
            <w:pPr>
              <w:spacing w:line="242" w:lineRule="auto"/>
              <w:jc w:val="both"/>
              <w:rPr>
                <w:rFonts w:asciiTheme="majorHAnsi" w:hAnsiTheme="majorHAnsi" w:cs="Arial"/>
              </w:rPr>
            </w:pPr>
          </w:p>
        </w:tc>
      </w:tr>
      <w:tr w:rsidR="00365C93" w:rsidRPr="009068D0" w14:paraId="4882DC67" w14:textId="77777777" w:rsidTr="00464888">
        <w:trPr>
          <w:gridAfter w:val="2"/>
          <w:wAfter w:w="3117" w:type="dxa"/>
        </w:trPr>
        <w:tc>
          <w:tcPr>
            <w:tcW w:w="9350" w:type="dxa"/>
            <w:gridSpan w:val="2"/>
            <w:tcBorders>
              <w:top w:val="single" w:sz="24" w:space="0" w:color="1BB6FF" w:themeColor="accent1" w:themeTint="99"/>
            </w:tcBorders>
          </w:tcPr>
          <w:p w14:paraId="2172B47D" w14:textId="77777777" w:rsidR="00365C93" w:rsidRPr="009068D0" w:rsidRDefault="00464888" w:rsidP="00395C1F">
            <w:pPr>
              <w:pStyle w:val="Heading1"/>
              <w:spacing w:line="360" w:lineRule="auto"/>
            </w:pPr>
            <w:r w:rsidRPr="009068D0">
              <w:t>About You</w:t>
            </w:r>
          </w:p>
        </w:tc>
      </w:tr>
      <w:tr w:rsidR="00464888" w:rsidRPr="00743018" w14:paraId="205872FE" w14:textId="77777777" w:rsidTr="007D6326">
        <w:trPr>
          <w:gridAfter w:val="2"/>
          <w:wAfter w:w="3117" w:type="dxa"/>
        </w:trPr>
        <w:tc>
          <w:tcPr>
            <w:tcW w:w="9350" w:type="dxa"/>
            <w:gridSpan w:val="2"/>
          </w:tcPr>
          <w:p w14:paraId="5F4E2FB6" w14:textId="77777777" w:rsidR="00924729" w:rsidRPr="00743018" w:rsidRDefault="008167AB" w:rsidP="00DD6156">
            <w:pPr>
              <w:jc w:val="both"/>
              <w:rPr>
                <w:rFonts w:cs="Arial"/>
                <w:szCs w:val="20"/>
              </w:rPr>
            </w:pPr>
            <w:r w:rsidRPr="00743018">
              <w:rPr>
                <w:szCs w:val="20"/>
              </w:rPr>
              <w:t>You will</w:t>
            </w:r>
            <w:r w:rsidR="00DD6156" w:rsidRPr="00743018">
              <w:rPr>
                <w:szCs w:val="20"/>
              </w:rPr>
              <w:t xml:space="preserve"> have a r</w:t>
            </w:r>
            <w:r w:rsidR="00DD6156" w:rsidRPr="00743018">
              <w:rPr>
                <w:rFonts w:cs="Arial"/>
                <w:szCs w:val="20"/>
              </w:rPr>
              <w:t>ecognised legal qualification as a Solicitor, Barrister, or Chartered Legal Executive</w:t>
            </w:r>
            <w:r w:rsidR="007F316F" w:rsidRPr="00743018">
              <w:rPr>
                <w:rFonts w:cs="Arial"/>
                <w:bCs/>
                <w:szCs w:val="20"/>
              </w:rPr>
              <w:t>.</w:t>
            </w:r>
          </w:p>
          <w:p w14:paraId="55894038" w14:textId="77777777" w:rsidR="008A28B5" w:rsidRPr="00743018" w:rsidRDefault="008A28B5" w:rsidP="00FE52AB">
            <w:pPr>
              <w:spacing w:line="276" w:lineRule="auto"/>
              <w:rPr>
                <w:szCs w:val="20"/>
              </w:rPr>
            </w:pPr>
          </w:p>
          <w:p w14:paraId="0D717BCA" w14:textId="77777777" w:rsidR="008A28B5" w:rsidRPr="00743018" w:rsidRDefault="008A28B5" w:rsidP="00FE52AB">
            <w:pPr>
              <w:spacing w:line="276" w:lineRule="auto"/>
              <w:rPr>
                <w:szCs w:val="20"/>
              </w:rPr>
            </w:pPr>
            <w:r w:rsidRPr="00743018">
              <w:rPr>
                <w:szCs w:val="20"/>
              </w:rPr>
              <w:t xml:space="preserve">In addition </w:t>
            </w:r>
            <w:r w:rsidR="00213E7B" w:rsidRPr="00743018">
              <w:rPr>
                <w:szCs w:val="20"/>
              </w:rPr>
              <w:t>you</w:t>
            </w:r>
            <w:r w:rsidRPr="00743018">
              <w:rPr>
                <w:szCs w:val="20"/>
              </w:rPr>
              <w:t xml:space="preserve"> will have:</w:t>
            </w:r>
          </w:p>
          <w:p w14:paraId="55A6A6E2" w14:textId="6DD42518" w:rsidR="00C95B8E" w:rsidRPr="00743018" w:rsidRDefault="00902F56" w:rsidP="00C95B8E">
            <w:pPr>
              <w:pStyle w:val="ListParagraph"/>
              <w:numPr>
                <w:ilvl w:val="0"/>
                <w:numId w:val="26"/>
              </w:numPr>
              <w:jc w:val="both"/>
              <w:rPr>
                <w:rFonts w:cs="Arial"/>
                <w:color w:val="005A84" w:themeColor="text1"/>
                <w:sz w:val="20"/>
                <w:szCs w:val="20"/>
              </w:rPr>
            </w:pPr>
            <w:r>
              <w:rPr>
                <w:rFonts w:cs="Arial"/>
                <w:color w:val="005A84" w:themeColor="text1"/>
                <w:sz w:val="20"/>
                <w:szCs w:val="20"/>
              </w:rPr>
              <w:t xml:space="preserve">Substantial </w:t>
            </w:r>
            <w:r w:rsidR="007A5E86" w:rsidRPr="00743018">
              <w:rPr>
                <w:rFonts w:cs="Arial"/>
                <w:color w:val="005A84" w:themeColor="text1"/>
                <w:sz w:val="20"/>
                <w:szCs w:val="20"/>
              </w:rPr>
              <w:t xml:space="preserve"> post-qualification experience.</w:t>
            </w:r>
          </w:p>
          <w:p w14:paraId="755D1646" w14:textId="77777777" w:rsidR="00C95B8E" w:rsidRPr="00743018" w:rsidRDefault="00C95B8E" w:rsidP="00C95B8E">
            <w:pPr>
              <w:pStyle w:val="ListParagraph"/>
              <w:numPr>
                <w:ilvl w:val="0"/>
                <w:numId w:val="26"/>
              </w:numPr>
              <w:jc w:val="both"/>
              <w:rPr>
                <w:rFonts w:cs="Arial"/>
                <w:color w:val="005A84" w:themeColor="text1"/>
                <w:sz w:val="20"/>
                <w:szCs w:val="20"/>
              </w:rPr>
            </w:pPr>
            <w:r w:rsidRPr="00743018">
              <w:rPr>
                <w:rFonts w:cs="Arial"/>
                <w:color w:val="005A84" w:themeColor="text1"/>
                <w:sz w:val="20"/>
                <w:szCs w:val="20"/>
              </w:rPr>
              <w:t>Excellent oral and written communication and comprehension skills, including the capacity to negotiate, to draft complex legal documentation and advice often under time pressure while meeting deadlines, and to demonstrate an innovative, problem-solving approach to legal problems.</w:t>
            </w:r>
          </w:p>
          <w:p w14:paraId="0F2C6408" w14:textId="77777777" w:rsidR="00C95B8E" w:rsidRPr="00743018" w:rsidRDefault="00DC4AAB" w:rsidP="00C95B8E">
            <w:pPr>
              <w:pStyle w:val="ListParagraph"/>
              <w:numPr>
                <w:ilvl w:val="0"/>
                <w:numId w:val="26"/>
              </w:numPr>
              <w:jc w:val="both"/>
              <w:rPr>
                <w:rFonts w:cs="Arial"/>
                <w:color w:val="005A84" w:themeColor="text1"/>
                <w:sz w:val="20"/>
                <w:szCs w:val="20"/>
              </w:rPr>
            </w:pPr>
            <w:r w:rsidRPr="00743018">
              <w:rPr>
                <w:rFonts w:cs="Arial"/>
                <w:color w:val="005A84" w:themeColor="text1"/>
                <w:sz w:val="20"/>
                <w:szCs w:val="20"/>
              </w:rPr>
              <w:t>Demonstrable experience of collaborative working with a range of stakeholders.</w:t>
            </w:r>
          </w:p>
          <w:p w14:paraId="35065043" w14:textId="77777777" w:rsidR="00DC4AAB" w:rsidRPr="00743018" w:rsidRDefault="000B7FD4" w:rsidP="00C95B8E">
            <w:pPr>
              <w:pStyle w:val="ListParagraph"/>
              <w:numPr>
                <w:ilvl w:val="0"/>
                <w:numId w:val="26"/>
              </w:numPr>
              <w:jc w:val="both"/>
              <w:rPr>
                <w:rFonts w:cs="Arial"/>
                <w:color w:val="005A84" w:themeColor="text1"/>
                <w:sz w:val="20"/>
                <w:szCs w:val="20"/>
              </w:rPr>
            </w:pPr>
            <w:r w:rsidRPr="00743018">
              <w:rPr>
                <w:rFonts w:cs="Arial"/>
                <w:color w:val="005A84" w:themeColor="text1"/>
                <w:sz w:val="20"/>
                <w:szCs w:val="20"/>
              </w:rPr>
              <w:t>Demonstrable ability in managing a team of people along with the competing demands of an active case load.</w:t>
            </w:r>
          </w:p>
          <w:p w14:paraId="4E41ED82" w14:textId="77777777" w:rsidR="000B7FD4" w:rsidRPr="00743018" w:rsidRDefault="00920924" w:rsidP="00C95B8E">
            <w:pPr>
              <w:pStyle w:val="ListParagraph"/>
              <w:numPr>
                <w:ilvl w:val="0"/>
                <w:numId w:val="26"/>
              </w:numPr>
              <w:jc w:val="both"/>
              <w:rPr>
                <w:rFonts w:cs="Arial"/>
                <w:color w:val="005A84" w:themeColor="text1"/>
                <w:sz w:val="20"/>
                <w:szCs w:val="20"/>
              </w:rPr>
            </w:pPr>
            <w:r w:rsidRPr="00743018">
              <w:rPr>
                <w:rFonts w:cs="Arial"/>
                <w:color w:val="005A84" w:themeColor="text1"/>
                <w:sz w:val="20"/>
                <w:szCs w:val="20"/>
              </w:rPr>
              <w:t>A proactive and collaborative approach to problem-solving and working within a team.</w:t>
            </w:r>
          </w:p>
          <w:p w14:paraId="524185E4" w14:textId="77777777" w:rsidR="00920924" w:rsidRPr="00743018" w:rsidRDefault="00067BC9" w:rsidP="00C95B8E">
            <w:pPr>
              <w:pStyle w:val="ListParagraph"/>
              <w:numPr>
                <w:ilvl w:val="0"/>
                <w:numId w:val="26"/>
              </w:numPr>
              <w:jc w:val="both"/>
              <w:rPr>
                <w:rFonts w:cs="Arial"/>
                <w:color w:val="005A84" w:themeColor="text1"/>
                <w:sz w:val="20"/>
                <w:szCs w:val="20"/>
              </w:rPr>
            </w:pPr>
            <w:r w:rsidRPr="00743018">
              <w:rPr>
                <w:rFonts w:cs="Arial"/>
                <w:color w:val="005A84" w:themeColor="text1"/>
                <w:sz w:val="20"/>
                <w:szCs w:val="20"/>
              </w:rPr>
              <w:t>Experience of building strong working relationships with clients and internal teams.</w:t>
            </w:r>
          </w:p>
          <w:p w14:paraId="36BA6AB9" w14:textId="77777777" w:rsidR="00067BC9" w:rsidRPr="00743018" w:rsidRDefault="00114339" w:rsidP="00C95B8E">
            <w:pPr>
              <w:pStyle w:val="ListParagraph"/>
              <w:numPr>
                <w:ilvl w:val="0"/>
                <w:numId w:val="26"/>
              </w:numPr>
              <w:jc w:val="both"/>
              <w:rPr>
                <w:rFonts w:cs="Arial"/>
                <w:color w:val="005A84" w:themeColor="text1"/>
                <w:sz w:val="20"/>
                <w:szCs w:val="20"/>
              </w:rPr>
            </w:pPr>
            <w:r w:rsidRPr="00743018">
              <w:rPr>
                <w:rFonts w:cs="Arial"/>
                <w:color w:val="005A84" w:themeColor="text1"/>
                <w:sz w:val="20"/>
                <w:szCs w:val="20"/>
              </w:rPr>
              <w:t>Strong IT skills including Microsoft packages or equivalent (e.g. G Suite, Mosaic).</w:t>
            </w:r>
          </w:p>
          <w:p w14:paraId="289D0E74" w14:textId="77777777" w:rsidR="00EC745A" w:rsidRPr="00743018" w:rsidRDefault="00EC745A" w:rsidP="00FE52AB">
            <w:pPr>
              <w:spacing w:line="276" w:lineRule="auto"/>
              <w:rPr>
                <w:rFonts w:asciiTheme="majorHAnsi" w:hAnsiTheme="majorHAnsi"/>
                <w:szCs w:val="20"/>
              </w:rPr>
            </w:pPr>
            <w:r w:rsidRPr="00743018">
              <w:rPr>
                <w:rFonts w:asciiTheme="majorHAnsi" w:hAnsiTheme="majorHAnsi"/>
                <w:szCs w:val="20"/>
              </w:rPr>
              <w:t>As this role involves regular travel across the borough and sometimes further afield, a driving licen</w:t>
            </w:r>
            <w:r w:rsidR="00586BBF">
              <w:rPr>
                <w:rFonts w:asciiTheme="majorHAnsi" w:hAnsiTheme="majorHAnsi"/>
                <w:szCs w:val="20"/>
              </w:rPr>
              <w:t>c</w:t>
            </w:r>
            <w:r w:rsidRPr="00743018">
              <w:rPr>
                <w:rFonts w:asciiTheme="majorHAnsi" w:hAnsiTheme="majorHAnsi"/>
                <w:szCs w:val="20"/>
              </w:rPr>
              <w:t>e and access to a vehicle are essential requirements.  Where appropriate, reasonable adjustments will be made in accordance with the provisions of the Equality Act.</w:t>
            </w:r>
          </w:p>
          <w:p w14:paraId="2C404A6A" w14:textId="77777777" w:rsidR="00EC745A" w:rsidRPr="00743018" w:rsidRDefault="00EC745A" w:rsidP="00FE52AB">
            <w:pPr>
              <w:spacing w:line="276" w:lineRule="auto"/>
              <w:rPr>
                <w:rFonts w:asciiTheme="majorHAnsi" w:hAnsiTheme="majorHAnsi"/>
                <w:szCs w:val="20"/>
              </w:rPr>
            </w:pPr>
          </w:p>
          <w:p w14:paraId="397388EB" w14:textId="77777777" w:rsidR="00814BD7" w:rsidRPr="00743018" w:rsidRDefault="008122A4" w:rsidP="00FE52AB">
            <w:pPr>
              <w:spacing w:line="276" w:lineRule="auto"/>
              <w:rPr>
                <w:rFonts w:asciiTheme="majorHAnsi" w:hAnsiTheme="majorHAnsi"/>
                <w:szCs w:val="20"/>
              </w:rPr>
            </w:pPr>
            <w:r w:rsidRPr="00743018">
              <w:rPr>
                <w:rFonts w:asciiTheme="majorHAnsi" w:hAnsiTheme="majorHAnsi"/>
                <w:szCs w:val="20"/>
              </w:rPr>
              <w:t>The Council and its schools are committed to safeguarding and promoting the welfare of children, young people and adults and expect all staff, workers and volunteers to share its commitment.</w:t>
            </w:r>
          </w:p>
        </w:tc>
      </w:tr>
      <w:tr w:rsidR="00464888" w:rsidRPr="009068D0" w14:paraId="745DC8F9" w14:textId="77777777" w:rsidTr="00602898">
        <w:trPr>
          <w:gridAfter w:val="1"/>
          <w:wAfter w:w="157" w:type="dxa"/>
        </w:trPr>
        <w:tc>
          <w:tcPr>
            <w:tcW w:w="9350" w:type="dxa"/>
            <w:gridSpan w:val="2"/>
          </w:tcPr>
          <w:p w14:paraId="7C404905" w14:textId="77777777" w:rsidR="00464888" w:rsidRPr="009068D0" w:rsidRDefault="00464888" w:rsidP="00E301C7">
            <w:pPr>
              <w:rPr>
                <w:rFonts w:asciiTheme="majorHAnsi" w:hAnsiTheme="majorHAnsi"/>
              </w:rPr>
            </w:pPr>
          </w:p>
        </w:tc>
        <w:tc>
          <w:tcPr>
            <w:tcW w:w="2960" w:type="dxa"/>
          </w:tcPr>
          <w:p w14:paraId="493E4159" w14:textId="77777777" w:rsidR="00464888" w:rsidRPr="009068D0" w:rsidRDefault="00464888">
            <w:pPr>
              <w:rPr>
                <w:rFonts w:asciiTheme="majorHAnsi" w:hAnsiTheme="majorHAnsi"/>
              </w:rPr>
            </w:pPr>
          </w:p>
        </w:tc>
      </w:tr>
      <w:tr w:rsidR="00464888" w:rsidRPr="009068D0" w14:paraId="56E4D1D8" w14:textId="77777777" w:rsidTr="0062364F">
        <w:tc>
          <w:tcPr>
            <w:tcW w:w="9350" w:type="dxa"/>
            <w:gridSpan w:val="2"/>
            <w:tcBorders>
              <w:top w:val="single" w:sz="24" w:space="0" w:color="1BB6FF" w:themeColor="accent1" w:themeTint="99"/>
            </w:tcBorders>
          </w:tcPr>
          <w:p w14:paraId="4CF3E9E6" w14:textId="77777777" w:rsidR="00464888" w:rsidRPr="009068D0" w:rsidRDefault="00464888" w:rsidP="00E301C7">
            <w:pPr>
              <w:rPr>
                <w:rFonts w:asciiTheme="majorHAnsi" w:hAnsiTheme="majorHAnsi"/>
              </w:rPr>
            </w:pPr>
          </w:p>
        </w:tc>
        <w:tc>
          <w:tcPr>
            <w:tcW w:w="3117" w:type="dxa"/>
            <w:gridSpan w:val="2"/>
          </w:tcPr>
          <w:p w14:paraId="4460F6B2" w14:textId="77777777" w:rsidR="00464888" w:rsidRPr="009068D0" w:rsidRDefault="00464888">
            <w:pPr>
              <w:rPr>
                <w:rFonts w:asciiTheme="majorHAnsi" w:hAnsiTheme="majorHAnsi"/>
              </w:rPr>
            </w:pPr>
          </w:p>
        </w:tc>
      </w:tr>
      <w:tr w:rsidR="00464888" w:rsidRPr="009068D0" w14:paraId="4B013462" w14:textId="77777777" w:rsidTr="00464888">
        <w:trPr>
          <w:gridAfter w:val="2"/>
          <w:wAfter w:w="3117" w:type="dxa"/>
          <w:trHeight w:val="333"/>
        </w:trPr>
        <w:tc>
          <w:tcPr>
            <w:tcW w:w="9350" w:type="dxa"/>
            <w:gridSpan w:val="2"/>
          </w:tcPr>
          <w:p w14:paraId="23533ABD" w14:textId="77777777" w:rsidR="00464888" w:rsidRPr="009068D0" w:rsidRDefault="00464888" w:rsidP="0009529B">
            <w:pPr>
              <w:jc w:val="right"/>
              <w:rPr>
                <w:rFonts w:asciiTheme="majorHAnsi" w:hAnsiTheme="majorHAnsi"/>
              </w:rPr>
            </w:pPr>
          </w:p>
        </w:tc>
      </w:tr>
    </w:tbl>
    <w:p w14:paraId="084377A2" w14:textId="77777777" w:rsidR="00B97621" w:rsidRPr="009068D0" w:rsidRDefault="00B97621" w:rsidP="00395C1F">
      <w:pPr>
        <w:rPr>
          <w:rFonts w:asciiTheme="majorHAnsi" w:hAnsiTheme="majorHAnsi"/>
        </w:rPr>
      </w:pPr>
    </w:p>
    <w:sectPr w:rsidR="00B97621" w:rsidRPr="009068D0"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A3F48" w14:textId="77777777" w:rsidR="001D4788" w:rsidRDefault="001D4788" w:rsidP="00BC73FC">
      <w:r>
        <w:separator/>
      </w:r>
    </w:p>
  </w:endnote>
  <w:endnote w:type="continuationSeparator" w:id="0">
    <w:p w14:paraId="1692816F" w14:textId="77777777" w:rsidR="001D4788" w:rsidRDefault="001D4788" w:rsidP="00BC73FC">
      <w:r>
        <w:continuationSeparator/>
      </w:r>
    </w:p>
  </w:endnote>
  <w:endnote w:type="continuationNotice" w:id="1">
    <w:p w14:paraId="72032524" w14:textId="77777777" w:rsidR="001D4788" w:rsidRDefault="001D4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1EF29" w14:textId="77777777" w:rsidR="001D4788" w:rsidRDefault="001D4788" w:rsidP="00BC73FC">
      <w:r>
        <w:separator/>
      </w:r>
    </w:p>
  </w:footnote>
  <w:footnote w:type="continuationSeparator" w:id="0">
    <w:p w14:paraId="45F4B32D" w14:textId="77777777" w:rsidR="001D4788" w:rsidRDefault="001D4788" w:rsidP="00BC73FC">
      <w:r>
        <w:continuationSeparator/>
      </w:r>
    </w:p>
  </w:footnote>
  <w:footnote w:type="continuationNotice" w:id="1">
    <w:p w14:paraId="7AB0D5A0" w14:textId="77777777" w:rsidR="001D4788" w:rsidRDefault="001D47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829"/>
    <w:multiLevelType w:val="hybridMultilevel"/>
    <w:tmpl w:val="305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14944BD"/>
    <w:multiLevelType w:val="hybridMultilevel"/>
    <w:tmpl w:val="B7B0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417A1"/>
    <w:multiLevelType w:val="hybridMultilevel"/>
    <w:tmpl w:val="AB10F854"/>
    <w:lvl w:ilvl="0" w:tplc="8806F5CE">
      <w:start w:val="12"/>
      <w:numFmt w:val="bullet"/>
      <w:lvlText w:val="-"/>
      <w:lvlJc w:val="left"/>
      <w:pPr>
        <w:ind w:left="1360" w:hanging="360"/>
      </w:pPr>
      <w:rPr>
        <w:rFonts w:ascii="Arial" w:eastAsiaTheme="minorHAnsi" w:hAnsi="Arial" w:cs="Aria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6"/>
  </w:num>
  <w:num w:numId="6" w16cid:durableId="854002118">
    <w:abstractNumId w:val="13"/>
  </w:num>
  <w:num w:numId="7" w16cid:durableId="9643203">
    <w:abstractNumId w:val="24"/>
  </w:num>
  <w:num w:numId="8" w16cid:durableId="2094618771">
    <w:abstractNumId w:val="19"/>
  </w:num>
  <w:num w:numId="9" w16cid:durableId="1866013986">
    <w:abstractNumId w:val="20"/>
  </w:num>
  <w:num w:numId="10" w16cid:durableId="948005912">
    <w:abstractNumId w:val="5"/>
  </w:num>
  <w:num w:numId="11" w16cid:durableId="1186291718">
    <w:abstractNumId w:val="1"/>
  </w:num>
  <w:num w:numId="12" w16cid:durableId="2114011035">
    <w:abstractNumId w:val="3"/>
  </w:num>
  <w:num w:numId="13" w16cid:durableId="889268224">
    <w:abstractNumId w:val="21"/>
  </w:num>
  <w:num w:numId="14" w16cid:durableId="1943221786">
    <w:abstractNumId w:val="17"/>
  </w:num>
  <w:num w:numId="15" w16cid:durableId="17393087">
    <w:abstractNumId w:val="11"/>
  </w:num>
  <w:num w:numId="16" w16cid:durableId="79496472">
    <w:abstractNumId w:val="4"/>
  </w:num>
  <w:num w:numId="17" w16cid:durableId="1190876401">
    <w:abstractNumId w:val="9"/>
  </w:num>
  <w:num w:numId="18" w16cid:durableId="1516726489">
    <w:abstractNumId w:val="23"/>
  </w:num>
  <w:num w:numId="19" w16cid:durableId="1519809597">
    <w:abstractNumId w:val="6"/>
  </w:num>
  <w:num w:numId="20" w16cid:durableId="1106654369">
    <w:abstractNumId w:val="7"/>
  </w:num>
  <w:num w:numId="21" w16cid:durableId="855311505">
    <w:abstractNumId w:val="18"/>
  </w:num>
  <w:num w:numId="22" w16cid:durableId="1128014861">
    <w:abstractNumId w:val="22"/>
  </w:num>
  <w:num w:numId="23" w16cid:durableId="444471535">
    <w:abstractNumId w:val="12"/>
  </w:num>
  <w:num w:numId="24" w16cid:durableId="1741174572">
    <w:abstractNumId w:val="14"/>
  </w:num>
  <w:num w:numId="25" w16cid:durableId="1339232508">
    <w:abstractNumId w:val="15"/>
  </w:num>
  <w:num w:numId="26" w16cid:durableId="1486167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16899"/>
    <w:rsid w:val="000275E3"/>
    <w:rsid w:val="0003409E"/>
    <w:rsid w:val="00035BEA"/>
    <w:rsid w:val="0003641B"/>
    <w:rsid w:val="00060551"/>
    <w:rsid w:val="00062A09"/>
    <w:rsid w:val="000653C8"/>
    <w:rsid w:val="00067BC9"/>
    <w:rsid w:val="000720DC"/>
    <w:rsid w:val="000761F2"/>
    <w:rsid w:val="0008635E"/>
    <w:rsid w:val="0009529B"/>
    <w:rsid w:val="000B7FD4"/>
    <w:rsid w:val="000E1C8B"/>
    <w:rsid w:val="000F7BB5"/>
    <w:rsid w:val="0010498C"/>
    <w:rsid w:val="00114339"/>
    <w:rsid w:val="001220E2"/>
    <w:rsid w:val="001360EF"/>
    <w:rsid w:val="00141C6D"/>
    <w:rsid w:val="00150B81"/>
    <w:rsid w:val="0016524D"/>
    <w:rsid w:val="0016551A"/>
    <w:rsid w:val="001806C6"/>
    <w:rsid w:val="00180710"/>
    <w:rsid w:val="00181676"/>
    <w:rsid w:val="00184606"/>
    <w:rsid w:val="001A5EE7"/>
    <w:rsid w:val="001C6CDA"/>
    <w:rsid w:val="001D4788"/>
    <w:rsid w:val="001D7755"/>
    <w:rsid w:val="001F46F6"/>
    <w:rsid w:val="00213E7B"/>
    <w:rsid w:val="002141F8"/>
    <w:rsid w:val="00225579"/>
    <w:rsid w:val="00226843"/>
    <w:rsid w:val="0024328B"/>
    <w:rsid w:val="002466AB"/>
    <w:rsid w:val="00246D98"/>
    <w:rsid w:val="00247D62"/>
    <w:rsid w:val="00270929"/>
    <w:rsid w:val="002764BF"/>
    <w:rsid w:val="00281B02"/>
    <w:rsid w:val="002A0AC2"/>
    <w:rsid w:val="002D755E"/>
    <w:rsid w:val="002E4402"/>
    <w:rsid w:val="002F6FC8"/>
    <w:rsid w:val="0030456C"/>
    <w:rsid w:val="00323C52"/>
    <w:rsid w:val="003329C7"/>
    <w:rsid w:val="003551E1"/>
    <w:rsid w:val="00365C93"/>
    <w:rsid w:val="00372BB5"/>
    <w:rsid w:val="003810F0"/>
    <w:rsid w:val="00387836"/>
    <w:rsid w:val="003907A9"/>
    <w:rsid w:val="003955FE"/>
    <w:rsid w:val="00395C1F"/>
    <w:rsid w:val="003A0A86"/>
    <w:rsid w:val="003C2CB9"/>
    <w:rsid w:val="003C60F7"/>
    <w:rsid w:val="003D4D87"/>
    <w:rsid w:val="003E09B5"/>
    <w:rsid w:val="003F1572"/>
    <w:rsid w:val="0041372B"/>
    <w:rsid w:val="004600FA"/>
    <w:rsid w:val="00464888"/>
    <w:rsid w:val="00480FAD"/>
    <w:rsid w:val="00495D4C"/>
    <w:rsid w:val="004A5DA0"/>
    <w:rsid w:val="004A6BB1"/>
    <w:rsid w:val="004A796F"/>
    <w:rsid w:val="004C6BAA"/>
    <w:rsid w:val="004D5BE8"/>
    <w:rsid w:val="00515D95"/>
    <w:rsid w:val="00515FF5"/>
    <w:rsid w:val="00561A2C"/>
    <w:rsid w:val="00566376"/>
    <w:rsid w:val="00577543"/>
    <w:rsid w:val="00586BBF"/>
    <w:rsid w:val="00596ED1"/>
    <w:rsid w:val="005A4D05"/>
    <w:rsid w:val="005C10C5"/>
    <w:rsid w:val="005C1D1A"/>
    <w:rsid w:val="005C2997"/>
    <w:rsid w:val="005C4AE8"/>
    <w:rsid w:val="005E0795"/>
    <w:rsid w:val="005E6612"/>
    <w:rsid w:val="005E760C"/>
    <w:rsid w:val="006126B9"/>
    <w:rsid w:val="00633AE8"/>
    <w:rsid w:val="00635BF6"/>
    <w:rsid w:val="00647C3A"/>
    <w:rsid w:val="006562AA"/>
    <w:rsid w:val="00677A30"/>
    <w:rsid w:val="0068134D"/>
    <w:rsid w:val="00687773"/>
    <w:rsid w:val="00695CD1"/>
    <w:rsid w:val="006A21A9"/>
    <w:rsid w:val="006C0E64"/>
    <w:rsid w:val="006C4D8D"/>
    <w:rsid w:val="006C78E7"/>
    <w:rsid w:val="006D4B28"/>
    <w:rsid w:val="006D50C6"/>
    <w:rsid w:val="006E658D"/>
    <w:rsid w:val="006F2E93"/>
    <w:rsid w:val="006F64DF"/>
    <w:rsid w:val="00700D4D"/>
    <w:rsid w:val="007079B0"/>
    <w:rsid w:val="00710C22"/>
    <w:rsid w:val="00713365"/>
    <w:rsid w:val="00724932"/>
    <w:rsid w:val="00727818"/>
    <w:rsid w:val="00740E56"/>
    <w:rsid w:val="00743018"/>
    <w:rsid w:val="00762200"/>
    <w:rsid w:val="00763784"/>
    <w:rsid w:val="007807FB"/>
    <w:rsid w:val="007840DF"/>
    <w:rsid w:val="00784B45"/>
    <w:rsid w:val="00793DB6"/>
    <w:rsid w:val="007A3696"/>
    <w:rsid w:val="007A5E86"/>
    <w:rsid w:val="007C27DD"/>
    <w:rsid w:val="007C282D"/>
    <w:rsid w:val="007C3222"/>
    <w:rsid w:val="007C5D8A"/>
    <w:rsid w:val="007C62D4"/>
    <w:rsid w:val="007E3F6A"/>
    <w:rsid w:val="007F316F"/>
    <w:rsid w:val="007F6D8B"/>
    <w:rsid w:val="007F737F"/>
    <w:rsid w:val="007F761D"/>
    <w:rsid w:val="00803B42"/>
    <w:rsid w:val="008122A4"/>
    <w:rsid w:val="00814BD7"/>
    <w:rsid w:val="008167AB"/>
    <w:rsid w:val="008207D2"/>
    <w:rsid w:val="00822662"/>
    <w:rsid w:val="00830561"/>
    <w:rsid w:val="00833898"/>
    <w:rsid w:val="0089153F"/>
    <w:rsid w:val="0089178E"/>
    <w:rsid w:val="00892298"/>
    <w:rsid w:val="008A28B5"/>
    <w:rsid w:val="008B1B4C"/>
    <w:rsid w:val="008B2ED7"/>
    <w:rsid w:val="008B2F82"/>
    <w:rsid w:val="008C5BB7"/>
    <w:rsid w:val="008C7185"/>
    <w:rsid w:val="008C7A00"/>
    <w:rsid w:val="008D195A"/>
    <w:rsid w:val="008D29E5"/>
    <w:rsid w:val="008D57B9"/>
    <w:rsid w:val="008E169C"/>
    <w:rsid w:val="008E4AD8"/>
    <w:rsid w:val="00902AB1"/>
    <w:rsid w:val="00902EDA"/>
    <w:rsid w:val="00902F56"/>
    <w:rsid w:val="009068D0"/>
    <w:rsid w:val="00917803"/>
    <w:rsid w:val="00920924"/>
    <w:rsid w:val="00924729"/>
    <w:rsid w:val="00924B62"/>
    <w:rsid w:val="0093793E"/>
    <w:rsid w:val="00966E71"/>
    <w:rsid w:val="00982CF7"/>
    <w:rsid w:val="0098361A"/>
    <w:rsid w:val="009B45BF"/>
    <w:rsid w:val="00A144AB"/>
    <w:rsid w:val="00A27909"/>
    <w:rsid w:val="00A405BB"/>
    <w:rsid w:val="00A50F8D"/>
    <w:rsid w:val="00A57756"/>
    <w:rsid w:val="00A707B9"/>
    <w:rsid w:val="00A82954"/>
    <w:rsid w:val="00A940B4"/>
    <w:rsid w:val="00AC7DE3"/>
    <w:rsid w:val="00AE120E"/>
    <w:rsid w:val="00AE230E"/>
    <w:rsid w:val="00AF536B"/>
    <w:rsid w:val="00B01D5F"/>
    <w:rsid w:val="00B03030"/>
    <w:rsid w:val="00B14D8F"/>
    <w:rsid w:val="00B30133"/>
    <w:rsid w:val="00B35806"/>
    <w:rsid w:val="00B359B2"/>
    <w:rsid w:val="00B45801"/>
    <w:rsid w:val="00B6029A"/>
    <w:rsid w:val="00B62032"/>
    <w:rsid w:val="00B6431B"/>
    <w:rsid w:val="00B70CCE"/>
    <w:rsid w:val="00B824D6"/>
    <w:rsid w:val="00B905A5"/>
    <w:rsid w:val="00B91C7E"/>
    <w:rsid w:val="00B94DD4"/>
    <w:rsid w:val="00B97621"/>
    <w:rsid w:val="00BA7BC6"/>
    <w:rsid w:val="00BC0DB1"/>
    <w:rsid w:val="00BC49D3"/>
    <w:rsid w:val="00BC73FC"/>
    <w:rsid w:val="00BD151D"/>
    <w:rsid w:val="00BD6187"/>
    <w:rsid w:val="00C107EE"/>
    <w:rsid w:val="00C24C53"/>
    <w:rsid w:val="00C3543B"/>
    <w:rsid w:val="00C406E7"/>
    <w:rsid w:val="00C42AB0"/>
    <w:rsid w:val="00C43902"/>
    <w:rsid w:val="00C43CC7"/>
    <w:rsid w:val="00C4790C"/>
    <w:rsid w:val="00C55CA1"/>
    <w:rsid w:val="00C57607"/>
    <w:rsid w:val="00C63F91"/>
    <w:rsid w:val="00C6483A"/>
    <w:rsid w:val="00C916FE"/>
    <w:rsid w:val="00C95B8E"/>
    <w:rsid w:val="00CB4EF5"/>
    <w:rsid w:val="00CC3477"/>
    <w:rsid w:val="00CD3C4E"/>
    <w:rsid w:val="00D05110"/>
    <w:rsid w:val="00D12306"/>
    <w:rsid w:val="00D15E96"/>
    <w:rsid w:val="00D27B4A"/>
    <w:rsid w:val="00D30B2D"/>
    <w:rsid w:val="00D33ACE"/>
    <w:rsid w:val="00D3444F"/>
    <w:rsid w:val="00D477B1"/>
    <w:rsid w:val="00D5014B"/>
    <w:rsid w:val="00D63C04"/>
    <w:rsid w:val="00D655D1"/>
    <w:rsid w:val="00D942E2"/>
    <w:rsid w:val="00D97A96"/>
    <w:rsid w:val="00DA4BDD"/>
    <w:rsid w:val="00DB629F"/>
    <w:rsid w:val="00DC4AAB"/>
    <w:rsid w:val="00DC65EE"/>
    <w:rsid w:val="00DC6AB5"/>
    <w:rsid w:val="00DC7AC0"/>
    <w:rsid w:val="00DD6156"/>
    <w:rsid w:val="00DE6CCA"/>
    <w:rsid w:val="00E13F1C"/>
    <w:rsid w:val="00E14925"/>
    <w:rsid w:val="00E26A54"/>
    <w:rsid w:val="00E301C7"/>
    <w:rsid w:val="00E37E48"/>
    <w:rsid w:val="00E4076D"/>
    <w:rsid w:val="00E47C62"/>
    <w:rsid w:val="00E65373"/>
    <w:rsid w:val="00E810A5"/>
    <w:rsid w:val="00E95D2E"/>
    <w:rsid w:val="00E97637"/>
    <w:rsid w:val="00EC325D"/>
    <w:rsid w:val="00EC745A"/>
    <w:rsid w:val="00EC7EE9"/>
    <w:rsid w:val="00ED2248"/>
    <w:rsid w:val="00ED4EB2"/>
    <w:rsid w:val="00ED780E"/>
    <w:rsid w:val="00EE1749"/>
    <w:rsid w:val="00EF1947"/>
    <w:rsid w:val="00EF3E9E"/>
    <w:rsid w:val="00EF477D"/>
    <w:rsid w:val="00F027A0"/>
    <w:rsid w:val="00F10327"/>
    <w:rsid w:val="00F162E7"/>
    <w:rsid w:val="00F20667"/>
    <w:rsid w:val="00F22907"/>
    <w:rsid w:val="00F32054"/>
    <w:rsid w:val="00F50178"/>
    <w:rsid w:val="00F57C7D"/>
    <w:rsid w:val="00F61656"/>
    <w:rsid w:val="00F62465"/>
    <w:rsid w:val="00F81F69"/>
    <w:rsid w:val="00F84CC7"/>
    <w:rsid w:val="00F96FF6"/>
    <w:rsid w:val="00FC1B7C"/>
    <w:rsid w:val="00FC7C8D"/>
    <w:rsid w:val="00FD3DF3"/>
    <w:rsid w:val="00FE52AB"/>
    <w:rsid w:val="00FF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0E305"/>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740E56"/>
    <w:pPr>
      <w:spacing w:after="160" w:line="259" w:lineRule="auto"/>
      <w:ind w:left="720"/>
      <w:contextualSpacing/>
    </w:pPr>
    <w:rPr>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3540e0-e10f-4b95-b0b2-9f413e226e02">
      <Terms xmlns="http://schemas.microsoft.com/office/infopath/2007/PartnerControls"/>
    </lcf76f155ced4ddcb4097134ff3c332f>
    <TaxCatchAll xmlns="a547935a-6d43-4f26-b5ad-88c611dd22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DBF41922F5EF4292C326C60A501FB6" ma:contentTypeVersion="13" ma:contentTypeDescription="Create a new document." ma:contentTypeScope="" ma:versionID="79225c180bcb81e8ce07568aa5a3deea">
  <xsd:schema xmlns:xsd="http://www.w3.org/2001/XMLSchema" xmlns:xs="http://www.w3.org/2001/XMLSchema" xmlns:p="http://schemas.microsoft.com/office/2006/metadata/properties" xmlns:ns2="873540e0-e10f-4b95-b0b2-9f413e226e02" xmlns:ns3="a547935a-6d43-4f26-b5ad-88c611dd224d" targetNamespace="http://schemas.microsoft.com/office/2006/metadata/properties" ma:root="true" ma:fieldsID="747fd9ee174325375af715008ebad8eb" ns2:_="" ns3:_="">
    <xsd:import namespace="873540e0-e10f-4b95-b0b2-9f413e226e02"/>
    <xsd:import namespace="a547935a-6d43-4f26-b5ad-88c611dd22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540e0-e10f-4b95-b0b2-9f413e226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935a-6d43-4f26-b5ad-88c611dd22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02a06d-b224-4ecf-af16-2bbfe02904e2}" ma:internalName="TaxCatchAll" ma:showField="CatchAllData" ma:web="a547935a-6d43-4f26-b5ad-88c611dd2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873540e0-e10f-4b95-b0b2-9f413e226e02"/>
    <ds:schemaRef ds:uri="a547935a-6d43-4f26-b5ad-88c611dd224d"/>
  </ds:schemaRefs>
</ds:datastoreItem>
</file>

<file path=customXml/itemProps2.xml><?xml version="1.0" encoding="utf-8"?>
<ds:datastoreItem xmlns:ds="http://schemas.openxmlformats.org/officeDocument/2006/customXml" ds:itemID="{D970D3F6-76AF-4BBA-9F84-78F674550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540e0-e10f-4b95-b0b2-9f413e226e02"/>
    <ds:schemaRef ds:uri="a547935a-6d43-4f26-b5ad-88c611dd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Template.dotx</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Waters</dc:creator>
  <cp:keywords/>
  <dc:description/>
  <cp:lastModifiedBy>Julie Ratcliffe</cp:lastModifiedBy>
  <cp:revision>2</cp:revision>
  <dcterms:created xsi:type="dcterms:W3CDTF">2025-05-12T14:43:00Z</dcterms:created>
  <dcterms:modified xsi:type="dcterms:W3CDTF">2025-05-12T14:43:00Z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0x01010030DBF41922F5EF4292C326C60A501FB6</vt:lpwstr>
  </property>
  <property fmtid="{D5CDD505-2E9C-101B-9397-08002B2CF9AE}" pid="3" name="MediaServiceImageTags">
    <vt:lpwstr/>
  </property>
</Properties>
</file>