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120240A9"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A2C7D">
              <w:rPr>
                <w:b/>
                <w:bCs/>
                <w:sz w:val="40"/>
                <w:szCs w:val="40"/>
              </w:rPr>
              <w:t>pay &amp; pensions service manager</w:t>
            </w:r>
          </w:p>
          <w:p w14:paraId="3A2B85FA" w14:textId="7EF67559" w:rsidR="007C3222" w:rsidRPr="007C3222" w:rsidRDefault="000F5A32" w:rsidP="000F5A32">
            <w:r>
              <w:rPr>
                <w:b/>
                <w:bCs/>
                <w:sz w:val="24"/>
                <w:szCs w:val="24"/>
              </w:rPr>
              <w:t xml:space="preserve">SALARY GRADE: </w:t>
            </w:r>
            <w:r w:rsidR="00FA2C7D">
              <w:rPr>
                <w:b/>
                <w:bCs/>
                <w:sz w:val="24"/>
                <w:szCs w:val="24"/>
              </w:rPr>
              <w:t>HBC10</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F0E6BDF" w:rsidR="00C6483A" w:rsidRPr="00FA2C7D" w:rsidRDefault="00C6483A" w:rsidP="00C6483A">
            <w:pPr>
              <w:numPr>
                <w:ilvl w:val="0"/>
                <w:numId w:val="9"/>
              </w:numPr>
              <w:spacing w:line="276" w:lineRule="auto"/>
            </w:pPr>
            <w:r w:rsidRPr="00FA2C7D">
              <w:t xml:space="preserve">Flexible / hybrid working arrangements available </w:t>
            </w:r>
          </w:p>
          <w:p w14:paraId="42E1A898" w14:textId="77777777" w:rsidR="00CD2F7A" w:rsidRPr="00FA2C7D" w:rsidRDefault="00CD2F7A" w:rsidP="00CD2F7A">
            <w:pPr>
              <w:numPr>
                <w:ilvl w:val="0"/>
                <w:numId w:val="9"/>
              </w:numPr>
              <w:rPr>
                <w:rFonts w:eastAsia="Times New Roman"/>
              </w:rPr>
            </w:pPr>
            <w:r w:rsidRPr="00FA2C7D">
              <w:rPr>
                <w:rFonts w:eastAsia="Times New Roman"/>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600D4603" w14:textId="2227F5A3" w:rsidR="00FA2C7D" w:rsidRDefault="00FA2C7D" w:rsidP="00FA2C7D">
            <w:pPr>
              <w:spacing w:line="276" w:lineRule="auto"/>
            </w:pPr>
            <w:r>
              <w:t>As the Pay &amp; Pensions Service Manager, you will manage the performance and direction of the Pay &amp; Pensions Service team within the HR Operations Division, ensuring the provision of effective services to customers in accordance with Council policies and procedures, employment legislation, and HR / payroll established best practice.</w:t>
            </w:r>
          </w:p>
          <w:p w14:paraId="17A42977" w14:textId="77777777" w:rsidR="00FA2C7D" w:rsidRDefault="00FA2C7D" w:rsidP="00FA2C7D">
            <w:pPr>
              <w:spacing w:line="276" w:lineRule="auto"/>
            </w:pPr>
          </w:p>
          <w:p w14:paraId="66ADF150" w14:textId="30DBB4BF" w:rsidR="001962F7" w:rsidRDefault="00FA2C7D" w:rsidP="00FA2C7D">
            <w:pPr>
              <w:spacing w:line="276" w:lineRule="auto"/>
            </w:pPr>
            <w:r>
              <w:t>You will ensure that payroll &amp; pensions service provision and transactional work, including time recording systems, are planned and managed effectively and take the lead in successful and efficient delivery of programmed work and appropriate solutions to support the achievement of business objectives.</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79DCFD71" w14:textId="77777777" w:rsidR="005E75A5" w:rsidRDefault="00FA2C7D" w:rsidP="00D10238">
            <w:pPr>
              <w:numPr>
                <w:ilvl w:val="0"/>
                <w:numId w:val="9"/>
              </w:numPr>
              <w:spacing w:line="276" w:lineRule="auto"/>
            </w:pPr>
            <w:r w:rsidRPr="00FA2C7D">
              <w:t>Manag</w:t>
            </w:r>
            <w:r>
              <w:t>ing</w:t>
            </w:r>
            <w:r w:rsidRPr="00FA2C7D">
              <w:t xml:space="preserve"> and develop</w:t>
            </w:r>
            <w:r>
              <w:t>ing</w:t>
            </w:r>
            <w:r w:rsidRPr="00FA2C7D">
              <w:t xml:space="preserve"> members of the team (including planning of work, performance management, coaching, mentoring and undertaking Employee Development Reviews) so they are appropriately skilled and deployed to provide an effective service</w:t>
            </w:r>
          </w:p>
          <w:p w14:paraId="1B1B3250" w14:textId="77777777" w:rsidR="00DF01AC" w:rsidRDefault="00DF01AC" w:rsidP="00D10238">
            <w:pPr>
              <w:numPr>
                <w:ilvl w:val="0"/>
                <w:numId w:val="9"/>
              </w:numPr>
              <w:spacing w:line="276" w:lineRule="auto"/>
            </w:pPr>
            <w:r>
              <w:t xml:space="preserve">Ensuring </w:t>
            </w:r>
            <w:r w:rsidRPr="00DF01AC">
              <w:t>service delivery meet</w:t>
            </w:r>
            <w:r>
              <w:t>s</w:t>
            </w:r>
            <w:r w:rsidRPr="00DF01AC">
              <w:t xml:space="preserve"> the key aims of the Council and the needs of the wider community, and contribute to the Divisional Business Plan to shape and define ongoing business strategy, performance and delivery</w:t>
            </w:r>
          </w:p>
          <w:p w14:paraId="78722821" w14:textId="6352A352" w:rsidR="00DF01AC" w:rsidRDefault="00DF01AC" w:rsidP="00D10238">
            <w:pPr>
              <w:numPr>
                <w:ilvl w:val="0"/>
                <w:numId w:val="9"/>
              </w:numPr>
              <w:spacing w:line="276" w:lineRule="auto"/>
            </w:pPr>
            <w:r>
              <w:t>Overseeing, r</w:t>
            </w:r>
            <w:r w:rsidRPr="00DF01AC">
              <w:t>eview</w:t>
            </w:r>
            <w:r>
              <w:t>ing</w:t>
            </w:r>
            <w:r w:rsidRPr="00DF01AC">
              <w:t xml:space="preserve"> and updat</w:t>
            </w:r>
            <w:r>
              <w:t>ing</w:t>
            </w:r>
            <w:r w:rsidRPr="00DF01AC">
              <w:t xml:space="preserve"> practices, procedures, and policies to ensure compliance with the Council Constitution, Standing Orders, audit requirements, and all statutory and legal obligations</w:t>
            </w:r>
          </w:p>
          <w:p w14:paraId="781E1A35" w14:textId="72BCF494" w:rsidR="00DF01AC" w:rsidRDefault="00DF01AC" w:rsidP="00D10238">
            <w:pPr>
              <w:numPr>
                <w:ilvl w:val="0"/>
                <w:numId w:val="9"/>
              </w:numPr>
              <w:spacing w:line="276" w:lineRule="auto"/>
            </w:pPr>
            <w:r w:rsidRPr="00DF01AC">
              <w:t>Manag</w:t>
            </w:r>
            <w:r>
              <w:t>ing</w:t>
            </w:r>
            <w:r w:rsidRPr="00DF01AC">
              <w:t xml:space="preserve"> the allocated budget and staffing resources to meet service needs, commissioning external resources and systems as required, in full compliance with procurement and financial standing orders and regulations</w:t>
            </w:r>
          </w:p>
          <w:p w14:paraId="787B2F05" w14:textId="11F990F2" w:rsidR="00DF01AC" w:rsidRDefault="00DF01AC" w:rsidP="00D10238">
            <w:pPr>
              <w:numPr>
                <w:ilvl w:val="0"/>
                <w:numId w:val="9"/>
              </w:numPr>
              <w:spacing w:line="276" w:lineRule="auto"/>
            </w:pPr>
            <w:r w:rsidRPr="00DF01AC">
              <w:t>Prepar</w:t>
            </w:r>
            <w:r>
              <w:t xml:space="preserve">ing </w:t>
            </w:r>
            <w:r w:rsidRPr="00DF01AC">
              <w:t>and present</w:t>
            </w:r>
            <w:r>
              <w:t>ing</w:t>
            </w:r>
            <w:r w:rsidRPr="00DF01AC">
              <w:t xml:space="preserve"> HR/payroll reports to Council Boards, management teams, and governor/head teacher seminars (including evening and weekend sessions) to support informed decision-making</w:t>
            </w:r>
          </w:p>
          <w:p w14:paraId="16641B1C" w14:textId="1E96A50A" w:rsidR="00DF01AC" w:rsidRDefault="00DF01AC" w:rsidP="00D10238">
            <w:pPr>
              <w:numPr>
                <w:ilvl w:val="0"/>
                <w:numId w:val="9"/>
              </w:numPr>
              <w:spacing w:line="276" w:lineRule="auto"/>
            </w:pPr>
            <w:r w:rsidRPr="00DF01AC">
              <w:t>Work</w:t>
            </w:r>
            <w:r>
              <w:t>ing</w:t>
            </w:r>
            <w:r w:rsidRPr="00DF01AC">
              <w:t xml:space="preserve"> collaboratively to manage and develop the integrated HR/Payroll, Document Management, e-recruitment, and HR IT systems (including time recording) to ensure their efficient use across HR Operations</w:t>
            </w:r>
          </w:p>
          <w:p w14:paraId="6DFE7234" w14:textId="69D21C59" w:rsidR="00DF01AC" w:rsidRDefault="00DF01AC" w:rsidP="00D10238">
            <w:pPr>
              <w:numPr>
                <w:ilvl w:val="0"/>
                <w:numId w:val="9"/>
              </w:numPr>
              <w:spacing w:line="276" w:lineRule="auto"/>
            </w:pPr>
            <w:r w:rsidRPr="00DF01AC">
              <w:t>Ensur</w:t>
            </w:r>
            <w:r>
              <w:t>ing</w:t>
            </w:r>
            <w:r w:rsidRPr="00DF01AC">
              <w:t xml:space="preserve"> that the Council’s schools that do not purchase the Council’s service level agreement for payroll services meet their statutory duties in respect of pay and pensions matters</w:t>
            </w:r>
          </w:p>
          <w:p w14:paraId="3F5A4AFC" w14:textId="2041A5B1" w:rsidR="00DF01AC" w:rsidRDefault="00DF01AC" w:rsidP="00D10238">
            <w:pPr>
              <w:numPr>
                <w:ilvl w:val="0"/>
                <w:numId w:val="9"/>
              </w:numPr>
              <w:spacing w:line="276" w:lineRule="auto"/>
            </w:pPr>
            <w:r w:rsidRPr="00DF01AC">
              <w:t>Develop</w:t>
            </w:r>
            <w:r>
              <w:t>ing</w:t>
            </w:r>
            <w:r w:rsidRPr="00DF01AC">
              <w:t xml:space="preserve"> and maintain</w:t>
            </w:r>
            <w:r>
              <w:t>ing</w:t>
            </w:r>
            <w:r w:rsidRPr="00DF01AC">
              <w:t xml:space="preserve"> positive relationships with process stakeholders (including HMRC), auditors, external bodies, </w:t>
            </w:r>
            <w:proofErr w:type="spellStart"/>
            <w:r w:rsidRPr="00DF01AC">
              <w:t>neighbo</w:t>
            </w:r>
            <w:r>
              <w:t>u</w:t>
            </w:r>
            <w:r w:rsidRPr="00DF01AC">
              <w:t>ring</w:t>
            </w:r>
            <w:proofErr w:type="spellEnd"/>
            <w:r w:rsidRPr="00DF01AC">
              <w:t xml:space="preserve"> authorities, working groups, and professional networks to </w:t>
            </w:r>
            <w:proofErr w:type="spellStart"/>
            <w:r w:rsidRPr="00DF01AC">
              <w:t>maximise</w:t>
            </w:r>
            <w:proofErr w:type="spellEnd"/>
            <w:r w:rsidRPr="00DF01AC">
              <w:t xml:space="preserve"> collaboration, represent the Council’s views, and resolve issues effectively</w:t>
            </w:r>
          </w:p>
          <w:p w14:paraId="4DCC83E5" w14:textId="37C8D8E2" w:rsidR="00DF01AC" w:rsidRDefault="00DF01AC" w:rsidP="00D10238">
            <w:pPr>
              <w:numPr>
                <w:ilvl w:val="0"/>
                <w:numId w:val="9"/>
              </w:numPr>
              <w:spacing w:line="276" w:lineRule="auto"/>
            </w:pPr>
            <w:proofErr w:type="spellStart"/>
            <w:r w:rsidRPr="00DF01AC">
              <w:t>Deputis</w:t>
            </w:r>
            <w:r>
              <w:t>ing</w:t>
            </w:r>
            <w:proofErr w:type="spellEnd"/>
            <w:r>
              <w:t xml:space="preserve"> </w:t>
            </w:r>
            <w:r w:rsidRPr="00DF01AC">
              <w:t>for the Divisional Manager at the Cheshire Pensions Consultative Forum as required</w:t>
            </w:r>
          </w:p>
          <w:p w14:paraId="1FF2DB93" w14:textId="77777777" w:rsidR="00DF01AC" w:rsidRDefault="00DF01AC" w:rsidP="00D10238">
            <w:pPr>
              <w:numPr>
                <w:ilvl w:val="0"/>
                <w:numId w:val="9"/>
              </w:numPr>
              <w:spacing w:line="276" w:lineRule="auto"/>
            </w:pPr>
            <w:r w:rsidRPr="00DF01AC">
              <w:t>Advis</w:t>
            </w:r>
            <w:r>
              <w:t>ing</w:t>
            </w:r>
            <w:r w:rsidRPr="00DF01AC">
              <w:t>, support</w:t>
            </w:r>
            <w:r>
              <w:t>ing</w:t>
            </w:r>
            <w:r w:rsidRPr="00DF01AC">
              <w:t>, and assist</w:t>
            </w:r>
            <w:r>
              <w:t>ing</w:t>
            </w:r>
            <w:r w:rsidRPr="00DF01AC">
              <w:t xml:space="preserve"> on complex pay</w:t>
            </w:r>
            <w:r>
              <w:t xml:space="preserve"> and </w:t>
            </w:r>
            <w:r w:rsidRPr="00DF01AC">
              <w:t>pension matters, ensuring compliance with HMRC and pension provider requirements, delivering proactive solutions, and escalating issues where appropriate</w:t>
            </w:r>
          </w:p>
          <w:p w14:paraId="5BC7BF95" w14:textId="77777777" w:rsidR="00DF01AC" w:rsidRDefault="00DF01AC" w:rsidP="00D10238">
            <w:pPr>
              <w:numPr>
                <w:ilvl w:val="0"/>
                <w:numId w:val="9"/>
              </w:numPr>
              <w:spacing w:line="276" w:lineRule="auto"/>
            </w:pPr>
            <w:r w:rsidRPr="00DF01AC">
              <w:t>Manag</w:t>
            </w:r>
            <w:r>
              <w:t>ing</w:t>
            </w:r>
            <w:r w:rsidRPr="00DF01AC">
              <w:t xml:space="preserve"> the Council’s teaching and non-teaching payrolls, as well as third-party payrolls under traded services, ensuring accurate monthly payroll calculations and correct processing of PAYE, NICs, the Apprenticeship Levy, and all other deductions</w:t>
            </w:r>
          </w:p>
          <w:p w14:paraId="07766D00" w14:textId="77777777" w:rsidR="00DF01AC" w:rsidRDefault="00DF01AC" w:rsidP="00D10238">
            <w:pPr>
              <w:numPr>
                <w:ilvl w:val="0"/>
                <w:numId w:val="9"/>
              </w:numPr>
              <w:spacing w:line="276" w:lineRule="auto"/>
            </w:pPr>
            <w:r w:rsidRPr="00DF01AC">
              <w:t>Manag</w:t>
            </w:r>
            <w:r>
              <w:t>ing</w:t>
            </w:r>
            <w:r w:rsidRPr="00DF01AC">
              <w:t xml:space="preserve"> the monthly / annual balancing, reconciliation and costing of the time recording system and all pay and rewards, and transfer of payments to employees and external / statutory bodies</w:t>
            </w:r>
          </w:p>
          <w:p w14:paraId="4A7E6851" w14:textId="77777777" w:rsidR="00DF01AC" w:rsidRDefault="00DF01AC" w:rsidP="00D10238">
            <w:pPr>
              <w:numPr>
                <w:ilvl w:val="0"/>
                <w:numId w:val="9"/>
              </w:numPr>
              <w:spacing w:line="276" w:lineRule="auto"/>
            </w:pPr>
            <w:r w:rsidRPr="00DF01AC">
              <w:t>Produc</w:t>
            </w:r>
            <w:r>
              <w:t>ing</w:t>
            </w:r>
            <w:r w:rsidRPr="00DF01AC">
              <w:t xml:space="preserve"> accurate and robust monthly / annual returns for the Councils non-teaching and teaching payrolls, and multiple third party payrolls provided under traded service arrangements</w:t>
            </w:r>
          </w:p>
          <w:p w14:paraId="302F1445" w14:textId="77777777" w:rsidR="00DF01AC" w:rsidRDefault="00630DB0" w:rsidP="00D10238">
            <w:pPr>
              <w:numPr>
                <w:ilvl w:val="0"/>
                <w:numId w:val="9"/>
              </w:numPr>
              <w:spacing w:line="276" w:lineRule="auto"/>
            </w:pPr>
            <w:r w:rsidRPr="00630DB0">
              <w:t>Manag</w:t>
            </w:r>
            <w:r>
              <w:t>ing</w:t>
            </w:r>
            <w:r w:rsidRPr="00630DB0">
              <w:t xml:space="preserve"> effective relationships with HMRC account managers and pension scheme providers (LGPS, NHS, TPS, AVC providers), to ensure that the interface between those </w:t>
            </w:r>
            <w:proofErr w:type="spellStart"/>
            <w:r w:rsidRPr="00630DB0">
              <w:t>organisations</w:t>
            </w:r>
            <w:proofErr w:type="spellEnd"/>
            <w:r w:rsidRPr="00630DB0">
              <w:t xml:space="preserve"> and the Council is efficient and effective</w:t>
            </w:r>
          </w:p>
          <w:p w14:paraId="5E595B1C" w14:textId="77777777" w:rsidR="00630DB0" w:rsidRDefault="00630DB0" w:rsidP="00D10238">
            <w:pPr>
              <w:numPr>
                <w:ilvl w:val="0"/>
                <w:numId w:val="9"/>
              </w:numPr>
              <w:spacing w:line="276" w:lineRule="auto"/>
            </w:pPr>
            <w:r w:rsidRPr="00630DB0">
              <w:t>Interpret and advise on pay and pensions legislation, codes of practice, Council policy, and the implications of terms and conditions for employees and managers across all professions and operational areas</w:t>
            </w:r>
          </w:p>
          <w:p w14:paraId="57BBA876" w14:textId="6470D8E9" w:rsidR="00630DB0" w:rsidRDefault="00630DB0" w:rsidP="00D10238">
            <w:pPr>
              <w:numPr>
                <w:ilvl w:val="0"/>
                <w:numId w:val="9"/>
              </w:numPr>
              <w:spacing w:line="276" w:lineRule="auto"/>
            </w:pPr>
            <w:r w:rsidRPr="00630DB0">
              <w:t>Undertake any other duties and responsibilities, which are commensurate with the grade of the job</w:t>
            </w: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371203FE" w14:textId="754B036A" w:rsidR="00F2500C" w:rsidRDefault="00630DB0">
      <w:r>
        <w:t xml:space="preserve">For this role, it is essential that you hold a </w:t>
      </w:r>
      <w:proofErr w:type="spellStart"/>
      <w:r>
        <w:t>r</w:t>
      </w:r>
      <w:r w:rsidRPr="00630DB0">
        <w:t>ecognised</w:t>
      </w:r>
      <w:proofErr w:type="spellEnd"/>
      <w:r w:rsidRPr="00630DB0">
        <w:t xml:space="preserve"> payroll qualification, or equivalent evidence of appropriate level of skills, payroll and HR knowledge and ability</w:t>
      </w:r>
      <w:r w:rsidR="005A267E">
        <w:t xml:space="preserve"> as well as </w:t>
      </w:r>
      <w:r w:rsidR="005A267E" w:rsidRPr="005A267E">
        <w:t>Evidence of Continuous Professional Development in relevant discipline(s)</w:t>
      </w:r>
      <w:r w:rsidR="005A267E">
        <w:t>.</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17CD1997" w14:textId="77777777" w:rsidTr="002635AA">
        <w:trPr>
          <w:gridAfter w:val="2"/>
          <w:wAfter w:w="2402" w:type="dxa"/>
        </w:trPr>
        <w:tc>
          <w:tcPr>
            <w:tcW w:w="10065" w:type="dxa"/>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7012DDB1" w14:textId="77777777" w:rsidR="005A267E" w:rsidRDefault="005A267E" w:rsidP="00FE52AB">
            <w:pPr>
              <w:spacing w:line="276" w:lineRule="auto"/>
            </w:pPr>
          </w:p>
          <w:p w14:paraId="247B03A5" w14:textId="13DA95DE" w:rsidR="005A267E" w:rsidRDefault="005A267E" w:rsidP="005A267E">
            <w:pPr>
              <w:pStyle w:val="ListParagraph"/>
              <w:numPr>
                <w:ilvl w:val="0"/>
                <w:numId w:val="24"/>
              </w:numPr>
              <w:spacing w:line="276" w:lineRule="auto"/>
            </w:pPr>
            <w:r w:rsidRPr="005A267E">
              <w:t>Significant relevant experience in a payroll post, working in a customer focused environment advising on pay and pension transactions, policy, procedure, law and best practice, and dealing with advanced or complex issues</w:t>
            </w:r>
          </w:p>
          <w:p w14:paraId="411DE7D4" w14:textId="77777777" w:rsidR="00300081" w:rsidRDefault="005A267E" w:rsidP="0047237D">
            <w:pPr>
              <w:pStyle w:val="ListParagraph"/>
              <w:numPr>
                <w:ilvl w:val="0"/>
                <w:numId w:val="24"/>
              </w:numPr>
              <w:spacing w:line="276" w:lineRule="auto"/>
            </w:pPr>
            <w:r>
              <w:lastRenderedPageBreak/>
              <w:t>Experience of m</w:t>
            </w:r>
            <w:r w:rsidRPr="005A267E">
              <w:t>anag</w:t>
            </w:r>
            <w:r>
              <w:t>ing</w:t>
            </w:r>
            <w:r w:rsidRPr="005A267E">
              <w:t xml:space="preserve"> staff</w:t>
            </w:r>
            <w:r>
              <w:t xml:space="preserve"> as well as the ability to</w:t>
            </w:r>
            <w:r w:rsidRPr="005A267E">
              <w:t xml:space="preserve"> coach, mento</w:t>
            </w:r>
            <w:r>
              <w:t>r</w:t>
            </w:r>
            <w:r w:rsidRPr="005A267E">
              <w:t xml:space="preserve"> and deliver high performance</w:t>
            </w:r>
          </w:p>
          <w:p w14:paraId="734603FD" w14:textId="29324D55" w:rsidR="005A267E" w:rsidRDefault="00300081" w:rsidP="0047237D">
            <w:pPr>
              <w:pStyle w:val="ListParagraph"/>
              <w:numPr>
                <w:ilvl w:val="0"/>
                <w:numId w:val="24"/>
              </w:numPr>
              <w:spacing w:line="276" w:lineRule="auto"/>
            </w:pPr>
            <w:r>
              <w:t>H</w:t>
            </w:r>
            <w:r w:rsidR="005A267E" w:rsidRPr="005A267E">
              <w:t xml:space="preserve">ighly developed teamwork skills, with </w:t>
            </w:r>
            <w:r w:rsidR="005A267E">
              <w:t xml:space="preserve">the </w:t>
            </w:r>
            <w:r w:rsidR="005A267E" w:rsidRPr="005A267E">
              <w:t>ability to work as a partner, developing collaborative pay / HR solutions to meet business need</w:t>
            </w:r>
          </w:p>
          <w:p w14:paraId="139B898A" w14:textId="45173CE2" w:rsidR="005A267E" w:rsidRDefault="00300081" w:rsidP="005A267E">
            <w:pPr>
              <w:pStyle w:val="ListParagraph"/>
              <w:numPr>
                <w:ilvl w:val="0"/>
                <w:numId w:val="24"/>
              </w:numPr>
              <w:spacing w:line="276" w:lineRule="auto"/>
            </w:pPr>
            <w:r w:rsidRPr="00300081">
              <w:t xml:space="preserve">Practical experience of payroll administration during </w:t>
            </w:r>
            <w:proofErr w:type="spellStart"/>
            <w:r w:rsidRPr="00300081">
              <w:t>organisational</w:t>
            </w:r>
            <w:proofErr w:type="spellEnd"/>
            <w:r w:rsidRPr="00300081">
              <w:t xml:space="preserve"> change e.g. TUPE, restructuring, redundancy exercises</w:t>
            </w:r>
            <w:r>
              <w:t xml:space="preserve"> with the a</w:t>
            </w:r>
            <w:r w:rsidRPr="00300081">
              <w:t>bility to solve complex problems through analytical and structured thought processes</w:t>
            </w:r>
          </w:p>
          <w:p w14:paraId="772244AD" w14:textId="77777777" w:rsidR="00300081" w:rsidRDefault="00300081" w:rsidP="00300081">
            <w:pPr>
              <w:pStyle w:val="ListParagraph"/>
              <w:numPr>
                <w:ilvl w:val="0"/>
                <w:numId w:val="24"/>
              </w:numPr>
              <w:spacing w:line="276" w:lineRule="auto"/>
            </w:pPr>
            <w:r w:rsidRPr="00300081">
              <w:t>Experience collaborating with trade unions, managers, and leaders within governance frameworks, building effective operational and strategic relationships, and negotiating and influencing while maintaining credibility</w:t>
            </w:r>
          </w:p>
          <w:p w14:paraId="42428A88" w14:textId="669EDA1C" w:rsidR="00037E74" w:rsidRDefault="00300081" w:rsidP="00300081">
            <w:pPr>
              <w:pStyle w:val="ListParagraph"/>
              <w:numPr>
                <w:ilvl w:val="0"/>
                <w:numId w:val="24"/>
              </w:numPr>
              <w:spacing w:line="276" w:lineRule="auto"/>
            </w:pPr>
            <w:r w:rsidRPr="00300081">
              <w:t>Experience in budget management, developing service level agreements, cost recovery for traded services, and handling appeals processes, including early conciliation and Employment Tribunal procedures</w:t>
            </w:r>
          </w:p>
          <w:p w14:paraId="2424E83D" w14:textId="047DC281" w:rsidR="00300081" w:rsidRDefault="00300081" w:rsidP="00300081">
            <w:pPr>
              <w:pStyle w:val="ListParagraph"/>
              <w:numPr>
                <w:ilvl w:val="0"/>
                <w:numId w:val="24"/>
              </w:numPr>
              <w:spacing w:line="276" w:lineRule="auto"/>
            </w:pPr>
            <w:r w:rsidRPr="00300081">
              <w:t>In-depth knowledge of payroll legislation, HMRC regulations, and regulatory frameworks for payroll management, pension administration, and statutory returns</w:t>
            </w:r>
            <w:r>
              <w:t xml:space="preserve"> as well as Change/Project Management </w:t>
            </w:r>
            <w:r w:rsidRPr="00300081">
              <w:t>methodology and processes</w:t>
            </w:r>
          </w:p>
          <w:p w14:paraId="53ECB4E3" w14:textId="5AE8E167" w:rsidR="00300081" w:rsidRDefault="00300081" w:rsidP="00300081">
            <w:pPr>
              <w:pStyle w:val="ListParagraph"/>
              <w:numPr>
                <w:ilvl w:val="0"/>
                <w:numId w:val="24"/>
              </w:numPr>
              <w:spacing w:line="276" w:lineRule="auto"/>
            </w:pPr>
            <w:r>
              <w:t>Experience of a</w:t>
            </w:r>
            <w:r w:rsidRPr="00300081">
              <w:t>dvising senior stakeholders on a broad range of pay and pension related issues</w:t>
            </w:r>
            <w:r>
              <w:t xml:space="preserve"> and the ability to </w:t>
            </w:r>
            <w:r w:rsidRPr="00300081">
              <w:t>write and deliver clear and concise reports, presentations, and management information (formal and informal)</w:t>
            </w:r>
          </w:p>
          <w:p w14:paraId="1B79B4DF" w14:textId="7BD0FB46" w:rsidR="00443B1A" w:rsidRDefault="00443B1A" w:rsidP="00443B1A">
            <w:pPr>
              <w:pStyle w:val="ListParagraph"/>
              <w:numPr>
                <w:ilvl w:val="0"/>
                <w:numId w:val="24"/>
              </w:numPr>
              <w:spacing w:line="276" w:lineRule="auto"/>
            </w:pPr>
            <w:r w:rsidRPr="00443B1A">
              <w:t>Experience in policy development and review, applying diversity guidance</w:t>
            </w:r>
            <w:r>
              <w:t xml:space="preserve"> and regulations</w:t>
            </w:r>
            <w:r w:rsidRPr="00443B1A">
              <w:t xml:space="preserve">, and understanding strategic business planning and the role of HR within it </w:t>
            </w:r>
            <w:r>
              <w:t xml:space="preserve">as well as the </w:t>
            </w:r>
            <w:r w:rsidRPr="00443B1A">
              <w:t>main features of HR systems, and how full use can aid operational effectiveness</w:t>
            </w:r>
          </w:p>
          <w:p w14:paraId="0DF74DDE" w14:textId="14ECBCCB" w:rsidR="00443B1A" w:rsidRDefault="00443B1A" w:rsidP="00443B1A">
            <w:pPr>
              <w:pStyle w:val="ListParagraph"/>
              <w:numPr>
                <w:ilvl w:val="0"/>
                <w:numId w:val="24"/>
              </w:numPr>
              <w:spacing w:line="276" w:lineRule="auto"/>
            </w:pPr>
            <w:r w:rsidRPr="00443B1A">
              <w:t>Knowledge of good customer service standards</w:t>
            </w:r>
            <w:r>
              <w:t xml:space="preserve"> </w:t>
            </w:r>
            <w:r w:rsidRPr="00443B1A">
              <w:t xml:space="preserve">and </w:t>
            </w:r>
            <w:r>
              <w:t xml:space="preserve">an understanding of </w:t>
            </w:r>
            <w:r w:rsidRPr="00443B1A">
              <w:t>how to engineer service delivery to meet them</w:t>
            </w:r>
          </w:p>
          <w:p w14:paraId="4BD58795" w14:textId="26A266E8" w:rsidR="00443B1A" w:rsidRDefault="00443B1A" w:rsidP="00443B1A">
            <w:pPr>
              <w:pStyle w:val="ListParagraph"/>
              <w:numPr>
                <w:ilvl w:val="0"/>
                <w:numId w:val="24"/>
              </w:numPr>
              <w:spacing w:line="276" w:lineRule="auto"/>
            </w:pPr>
            <w:r w:rsidRPr="00443B1A">
              <w:t>Highly developed interpersonal</w:t>
            </w:r>
            <w:r>
              <w:t xml:space="preserve">, </w:t>
            </w:r>
            <w:r w:rsidRPr="00443B1A">
              <w:t xml:space="preserve">communication </w:t>
            </w:r>
            <w:r>
              <w:t xml:space="preserve">and </w:t>
            </w:r>
            <w:proofErr w:type="spellStart"/>
            <w:r w:rsidR="009962F8">
              <w:t>organisation</w:t>
            </w:r>
            <w:proofErr w:type="spellEnd"/>
            <w:r>
              <w:t xml:space="preserve"> </w:t>
            </w:r>
            <w:r w:rsidRPr="00443B1A">
              <w:t>skills with the ability to articulate complex information</w:t>
            </w:r>
            <w:r>
              <w:t xml:space="preserve"> and </w:t>
            </w:r>
            <w:proofErr w:type="spellStart"/>
            <w:r w:rsidRPr="00443B1A">
              <w:t>prioritise</w:t>
            </w:r>
            <w:proofErr w:type="spellEnd"/>
            <w:r w:rsidRPr="00443B1A">
              <w:t xml:space="preserve"> systematically to meet tight deadlines, whilst demonstrating personal and professional resilience</w:t>
            </w:r>
          </w:p>
          <w:p w14:paraId="417754E0" w14:textId="0EC5EF49" w:rsidR="00443B1A" w:rsidRDefault="00443B1A" w:rsidP="00443B1A">
            <w:pPr>
              <w:pStyle w:val="ListParagraph"/>
              <w:numPr>
                <w:ilvl w:val="0"/>
                <w:numId w:val="24"/>
              </w:numPr>
              <w:spacing w:line="276" w:lineRule="auto"/>
            </w:pPr>
            <w:r w:rsidRPr="00443B1A">
              <w:t>Politically astute, with high levels of self-awareness</w:t>
            </w:r>
            <w:r>
              <w:t xml:space="preserve"> and the ability to </w:t>
            </w:r>
            <w:r w:rsidRPr="00443B1A">
              <w:t>work as part of a senior management team</w:t>
            </w:r>
          </w:p>
          <w:p w14:paraId="61CD86F5" w14:textId="77777777" w:rsidR="00443B1A" w:rsidRDefault="00443B1A" w:rsidP="00443B1A">
            <w:pPr>
              <w:spacing w:line="276" w:lineRule="auto"/>
            </w:pPr>
          </w:p>
          <w:p w14:paraId="072CA5F0" w14:textId="56E68E1A" w:rsidR="00443B1A" w:rsidRDefault="00443B1A" w:rsidP="00443B1A">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Default="00B97621" w:rsidP="00395C1F"/>
    <w:p w14:paraId="43152499" w14:textId="77777777" w:rsidR="00F03359" w:rsidRPr="00E301C7" w:rsidRDefault="00F03359" w:rsidP="00395C1F"/>
    <w:sectPr w:rsidR="00F03359"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641" w14:textId="77777777" w:rsidR="007E6726" w:rsidRDefault="007E6726" w:rsidP="00BC73FC">
      <w:r>
        <w:separator/>
      </w:r>
    </w:p>
  </w:endnote>
  <w:endnote w:type="continuationSeparator" w:id="0">
    <w:p w14:paraId="532CBD1C" w14:textId="77777777" w:rsidR="007E6726" w:rsidRDefault="007E6726" w:rsidP="00BC73FC">
      <w:r>
        <w:continuationSeparator/>
      </w:r>
    </w:p>
  </w:endnote>
  <w:endnote w:type="continuationNotice" w:id="1">
    <w:p w14:paraId="50BE651D" w14:textId="77777777" w:rsidR="007E6726" w:rsidRDefault="007E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620" w14:textId="77777777" w:rsidR="007E6726" w:rsidRDefault="007E6726" w:rsidP="00BC73FC">
      <w:r>
        <w:separator/>
      </w:r>
    </w:p>
  </w:footnote>
  <w:footnote w:type="continuationSeparator" w:id="0">
    <w:p w14:paraId="794F0CF6" w14:textId="77777777" w:rsidR="007E6726" w:rsidRDefault="007E6726" w:rsidP="00BC73FC">
      <w:r>
        <w:continuationSeparator/>
      </w:r>
    </w:p>
  </w:footnote>
  <w:footnote w:type="continuationNotice" w:id="1">
    <w:p w14:paraId="71F79639" w14:textId="77777777" w:rsidR="007E6726" w:rsidRDefault="007E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C1A4D"/>
    <w:multiLevelType w:val="hybridMultilevel"/>
    <w:tmpl w:val="6FB6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5"/>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4"/>
  </w:num>
  <w:num w:numId="17" w16cid:durableId="1190876401">
    <w:abstractNumId w:val="9"/>
  </w:num>
  <w:num w:numId="18" w16cid:durableId="1516726489">
    <w:abstractNumId w:val="21"/>
  </w:num>
  <w:num w:numId="19" w16cid:durableId="1519809597">
    <w:abstractNumId w:val="6"/>
  </w:num>
  <w:num w:numId="20" w16cid:durableId="1106654369">
    <w:abstractNumId w:val="7"/>
  </w:num>
  <w:num w:numId="21" w16cid:durableId="855311505">
    <w:abstractNumId w:val="16"/>
  </w:num>
  <w:num w:numId="22" w16cid:durableId="1128014861">
    <w:abstractNumId w:val="20"/>
  </w:num>
  <w:num w:numId="23" w16cid:durableId="444471535">
    <w:abstractNumId w:val="12"/>
  </w:num>
  <w:num w:numId="24" w16cid:durableId="504906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7E74"/>
    <w:rsid w:val="0005213C"/>
    <w:rsid w:val="00060551"/>
    <w:rsid w:val="00067EB3"/>
    <w:rsid w:val="000761F2"/>
    <w:rsid w:val="0009529B"/>
    <w:rsid w:val="000A2B04"/>
    <w:rsid w:val="000E1C8B"/>
    <w:rsid w:val="000E6815"/>
    <w:rsid w:val="000F5A32"/>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81B02"/>
    <w:rsid w:val="002933F2"/>
    <w:rsid w:val="002A0AC2"/>
    <w:rsid w:val="002B796F"/>
    <w:rsid w:val="002C518F"/>
    <w:rsid w:val="002D0F74"/>
    <w:rsid w:val="002D4238"/>
    <w:rsid w:val="002D755E"/>
    <w:rsid w:val="002E13EE"/>
    <w:rsid w:val="002F6FC8"/>
    <w:rsid w:val="00300081"/>
    <w:rsid w:val="0030456C"/>
    <w:rsid w:val="00322ACB"/>
    <w:rsid w:val="003329C7"/>
    <w:rsid w:val="003551E1"/>
    <w:rsid w:val="00365C93"/>
    <w:rsid w:val="00367AED"/>
    <w:rsid w:val="00372BB5"/>
    <w:rsid w:val="003955FE"/>
    <w:rsid w:val="00395C1F"/>
    <w:rsid w:val="003A0A86"/>
    <w:rsid w:val="003B2C97"/>
    <w:rsid w:val="003C0D34"/>
    <w:rsid w:val="003C60F7"/>
    <w:rsid w:val="003D4D87"/>
    <w:rsid w:val="00443B1A"/>
    <w:rsid w:val="004600FA"/>
    <w:rsid w:val="00464888"/>
    <w:rsid w:val="00480FAD"/>
    <w:rsid w:val="00497021"/>
    <w:rsid w:val="004A6BB1"/>
    <w:rsid w:val="004A796F"/>
    <w:rsid w:val="004C6BAA"/>
    <w:rsid w:val="004D31A4"/>
    <w:rsid w:val="00506E16"/>
    <w:rsid w:val="0051188D"/>
    <w:rsid w:val="00515D95"/>
    <w:rsid w:val="0054734D"/>
    <w:rsid w:val="00561A2C"/>
    <w:rsid w:val="00567822"/>
    <w:rsid w:val="005706E6"/>
    <w:rsid w:val="00577543"/>
    <w:rsid w:val="00593983"/>
    <w:rsid w:val="005A0882"/>
    <w:rsid w:val="005A267E"/>
    <w:rsid w:val="005A4D05"/>
    <w:rsid w:val="005B54B1"/>
    <w:rsid w:val="005C2714"/>
    <w:rsid w:val="005E0795"/>
    <w:rsid w:val="005E6612"/>
    <w:rsid w:val="005E75A5"/>
    <w:rsid w:val="005E760C"/>
    <w:rsid w:val="005F0112"/>
    <w:rsid w:val="005F2592"/>
    <w:rsid w:val="006030FA"/>
    <w:rsid w:val="006126B9"/>
    <w:rsid w:val="00630DB0"/>
    <w:rsid w:val="00647C3A"/>
    <w:rsid w:val="00673DC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7273A"/>
    <w:rsid w:val="007807FB"/>
    <w:rsid w:val="00781539"/>
    <w:rsid w:val="007840DF"/>
    <w:rsid w:val="00793DB6"/>
    <w:rsid w:val="007B29E5"/>
    <w:rsid w:val="007C27DD"/>
    <w:rsid w:val="007C3222"/>
    <w:rsid w:val="007E6726"/>
    <w:rsid w:val="007F6D8B"/>
    <w:rsid w:val="007F737F"/>
    <w:rsid w:val="008122A4"/>
    <w:rsid w:val="00814BD7"/>
    <w:rsid w:val="00822E7D"/>
    <w:rsid w:val="00830561"/>
    <w:rsid w:val="00882CF4"/>
    <w:rsid w:val="0089153F"/>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962F8"/>
    <w:rsid w:val="009B45BF"/>
    <w:rsid w:val="009B58A5"/>
    <w:rsid w:val="009D1074"/>
    <w:rsid w:val="009D2622"/>
    <w:rsid w:val="009D4A90"/>
    <w:rsid w:val="009F3F87"/>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7BC6"/>
    <w:rsid w:val="00BC73FC"/>
    <w:rsid w:val="00BD151D"/>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A3014"/>
    <w:rsid w:val="00CC3477"/>
    <w:rsid w:val="00CD08BD"/>
    <w:rsid w:val="00CD2F7A"/>
    <w:rsid w:val="00CD3C4E"/>
    <w:rsid w:val="00CE2666"/>
    <w:rsid w:val="00D01950"/>
    <w:rsid w:val="00D10238"/>
    <w:rsid w:val="00D12306"/>
    <w:rsid w:val="00D15E96"/>
    <w:rsid w:val="00D27B4A"/>
    <w:rsid w:val="00D33ACE"/>
    <w:rsid w:val="00D3444F"/>
    <w:rsid w:val="00D63C04"/>
    <w:rsid w:val="00D655D1"/>
    <w:rsid w:val="00D73EB5"/>
    <w:rsid w:val="00DB629F"/>
    <w:rsid w:val="00DC12AF"/>
    <w:rsid w:val="00DC65EE"/>
    <w:rsid w:val="00DC6AB5"/>
    <w:rsid w:val="00DF01AC"/>
    <w:rsid w:val="00E14925"/>
    <w:rsid w:val="00E26A54"/>
    <w:rsid w:val="00E301C7"/>
    <w:rsid w:val="00E36977"/>
    <w:rsid w:val="00E4076D"/>
    <w:rsid w:val="00E700D7"/>
    <w:rsid w:val="00E7121F"/>
    <w:rsid w:val="00E77FC6"/>
    <w:rsid w:val="00E810A5"/>
    <w:rsid w:val="00E87EA7"/>
    <w:rsid w:val="00E95D2E"/>
    <w:rsid w:val="00E97070"/>
    <w:rsid w:val="00E97637"/>
    <w:rsid w:val="00EC745A"/>
    <w:rsid w:val="00ED22FE"/>
    <w:rsid w:val="00ED2AD6"/>
    <w:rsid w:val="00ED4EB2"/>
    <w:rsid w:val="00EF1947"/>
    <w:rsid w:val="00EF3E9E"/>
    <w:rsid w:val="00EF477D"/>
    <w:rsid w:val="00F000FC"/>
    <w:rsid w:val="00F01564"/>
    <w:rsid w:val="00F03359"/>
    <w:rsid w:val="00F10327"/>
    <w:rsid w:val="00F20667"/>
    <w:rsid w:val="00F249FA"/>
    <w:rsid w:val="00F24D99"/>
    <w:rsid w:val="00F2500C"/>
    <w:rsid w:val="00F366A1"/>
    <w:rsid w:val="00F51960"/>
    <w:rsid w:val="00F5593E"/>
    <w:rsid w:val="00F57C7D"/>
    <w:rsid w:val="00F62465"/>
    <w:rsid w:val="00F81F69"/>
    <w:rsid w:val="00F84CC7"/>
    <w:rsid w:val="00F96FF6"/>
    <w:rsid w:val="00FA2C7D"/>
    <w:rsid w:val="00FC1B7C"/>
    <w:rsid w:val="00FC3780"/>
    <w:rsid w:val="00FC7C8D"/>
    <w:rsid w:val="00FD3D35"/>
    <w:rsid w:val="00FD3DF3"/>
    <w:rsid w:val="00FE52AB"/>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d501e0f60cb373d54cc5772bafe0caf5">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b6e80cc498dd0f7f98265e37d760b0d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F5639669-F938-464D-A91F-0B6476E7A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1209</Words>
  <Characters>7484</Characters>
  <Application>Microsoft Office Word</Application>
  <DocSecurity>0</DocSecurity>
  <Lines>122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Jessica Hough</cp:lastModifiedBy>
  <cp:revision>5</cp:revision>
  <dcterms:created xsi:type="dcterms:W3CDTF">2025-11-17T12:26:00Z</dcterms:created>
  <dcterms:modified xsi:type="dcterms:W3CDTF">2025-11-19T12:19:00Z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