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3F8653F4"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Pr>
                <w:b/>
                <w:bCs/>
                <w:sz w:val="40"/>
                <w:szCs w:val="40"/>
              </w:rPr>
              <w:t>[</w:t>
            </w:r>
            <w:r w:rsidR="0095770D">
              <w:rPr>
                <w:b/>
                <w:bCs/>
                <w:sz w:val="40"/>
                <w:szCs w:val="40"/>
              </w:rPr>
              <w:t>Pay and pensions officer</w:t>
            </w:r>
            <w:r>
              <w:rPr>
                <w:b/>
                <w:bCs/>
                <w:sz w:val="40"/>
                <w:szCs w:val="40"/>
              </w:rPr>
              <w:t>]</w:t>
            </w:r>
          </w:p>
          <w:p w14:paraId="3A2B85FA" w14:textId="0CD36F50" w:rsidR="007C3222" w:rsidRPr="007C3222" w:rsidRDefault="000F5A32" w:rsidP="000F5A32">
            <w:r>
              <w:rPr>
                <w:b/>
                <w:bCs/>
                <w:sz w:val="24"/>
                <w:szCs w:val="24"/>
              </w:rPr>
              <w:t xml:space="preserve">SALARY GRADE: </w:t>
            </w:r>
            <w:r w:rsidR="003E29DF">
              <w:rPr>
                <w:b/>
                <w:bCs/>
                <w:sz w:val="24"/>
                <w:szCs w:val="24"/>
              </w:rPr>
              <w:t>HBC5</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11421D19" w:rsidR="00C6483A" w:rsidRPr="00C6483A" w:rsidRDefault="00C6483A" w:rsidP="00C6483A">
            <w:pPr>
              <w:numPr>
                <w:ilvl w:val="0"/>
                <w:numId w:val="9"/>
              </w:numPr>
              <w:spacing w:line="276" w:lineRule="auto"/>
            </w:pPr>
            <w:r w:rsidRPr="00C6483A">
              <w:t xml:space="preserve">Flexible / hybrid working arrangements available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2622AAF3" w14:textId="77777777" w:rsidR="001962F7" w:rsidRPr="0033462D" w:rsidRDefault="001962F7" w:rsidP="001962F7">
            <w:pPr>
              <w:pStyle w:val="Heading1"/>
              <w:spacing w:line="360" w:lineRule="auto"/>
              <w:rPr>
                <w:sz w:val="24"/>
                <w:szCs w:val="24"/>
                <w:lang w:val="en-GB"/>
              </w:rPr>
            </w:pPr>
            <w:r w:rsidRPr="00464888">
              <w:rPr>
                <w:lang w:val="en-GB"/>
              </w:rPr>
              <w:lastRenderedPageBreak/>
              <w:t xml:space="preserve">About the Job </w:t>
            </w:r>
          </w:p>
          <w:p w14:paraId="4A003CFB" w14:textId="367216A5" w:rsidR="00615C12" w:rsidRPr="008D6A81" w:rsidRDefault="008274BC" w:rsidP="00615C12">
            <w:pPr>
              <w:pStyle w:val="Default"/>
              <w:rPr>
                <w:rFonts w:asciiTheme="majorHAnsi" w:hAnsiTheme="majorHAnsi"/>
                <w:color w:val="005982" w:themeColor="accent1"/>
                <w:sz w:val="20"/>
                <w:szCs w:val="20"/>
              </w:rPr>
            </w:pPr>
            <w:r w:rsidRPr="008D6A81">
              <w:rPr>
                <w:rFonts w:asciiTheme="majorHAnsi" w:hAnsiTheme="majorHAnsi"/>
                <w:color w:val="005982" w:themeColor="accent1"/>
                <w:sz w:val="20"/>
                <w:szCs w:val="20"/>
              </w:rPr>
              <w:t>To d</w:t>
            </w:r>
            <w:r w:rsidR="00615C12" w:rsidRPr="008D6A81">
              <w:rPr>
                <w:rFonts w:asciiTheme="majorHAnsi" w:hAnsiTheme="majorHAnsi"/>
                <w:color w:val="005982" w:themeColor="accent1"/>
                <w:sz w:val="20"/>
                <w:szCs w:val="20"/>
              </w:rPr>
              <w:t xml:space="preserve">eliver payroll processes to internal and external payees within pre-determined deadlines, ensuring that all payments meet statutory requirements, key audit controls, and the terms of Service Level Agreements. </w:t>
            </w:r>
          </w:p>
          <w:p w14:paraId="0630347E" w14:textId="77777777" w:rsidR="00615C12" w:rsidRPr="008D6A81" w:rsidRDefault="00615C12" w:rsidP="00615C12">
            <w:pPr>
              <w:pStyle w:val="Default"/>
              <w:rPr>
                <w:rFonts w:asciiTheme="majorHAnsi" w:hAnsiTheme="majorHAnsi"/>
                <w:color w:val="005982" w:themeColor="accent1"/>
                <w:sz w:val="20"/>
                <w:szCs w:val="20"/>
              </w:rPr>
            </w:pPr>
            <w:r w:rsidRPr="008D6A81">
              <w:rPr>
                <w:rFonts w:asciiTheme="majorHAnsi" w:hAnsiTheme="majorHAnsi"/>
                <w:color w:val="005982" w:themeColor="accent1"/>
                <w:sz w:val="20"/>
                <w:szCs w:val="20"/>
              </w:rPr>
              <w:t xml:space="preserve">Assist in the reconciliation of the gross to net calculation for all payrolls. </w:t>
            </w:r>
          </w:p>
          <w:p w14:paraId="72051BD2" w14:textId="07C0DF37" w:rsidR="00FA1A76" w:rsidRDefault="00615C12" w:rsidP="00615C12">
            <w:pPr>
              <w:rPr>
                <w:rFonts w:asciiTheme="majorHAnsi" w:hAnsiTheme="majorHAnsi"/>
                <w:color w:val="005982" w:themeColor="accent1"/>
                <w:szCs w:val="20"/>
              </w:rPr>
            </w:pPr>
            <w:r w:rsidRPr="008D6A81">
              <w:rPr>
                <w:rFonts w:asciiTheme="majorHAnsi" w:hAnsiTheme="majorHAnsi"/>
                <w:color w:val="005982" w:themeColor="accent1"/>
                <w:szCs w:val="20"/>
              </w:rPr>
              <w:t>Provide technical input and support on all aspects of pension administration for relevant schemes (LGPS, TPS, NHS).</w:t>
            </w:r>
          </w:p>
          <w:p w14:paraId="67617764" w14:textId="77777777" w:rsidR="00FA1A76" w:rsidRDefault="00FA1A76" w:rsidP="00615C12">
            <w:pPr>
              <w:rPr>
                <w:lang w:val="en-GB"/>
              </w:rPr>
            </w:pPr>
          </w:p>
          <w:p w14:paraId="04A97748" w14:textId="77777777" w:rsidR="00FA1A76" w:rsidRDefault="00FA1A76" w:rsidP="00615C12">
            <w:pPr>
              <w:rPr>
                <w:lang w:val="en-GB"/>
              </w:rPr>
            </w:pPr>
          </w:p>
          <w:p w14:paraId="7F08064E" w14:textId="77777777" w:rsidR="00FA1A76" w:rsidRDefault="00FA1A76" w:rsidP="00615C12">
            <w:pPr>
              <w:rPr>
                <w:lang w:val="en-GB"/>
              </w:rPr>
            </w:pPr>
          </w:p>
          <w:p w14:paraId="3E1A06BB" w14:textId="77777777" w:rsidR="00FA1A76" w:rsidRPr="00615C12" w:rsidRDefault="00FA1A76" w:rsidP="00615C12">
            <w:pPr>
              <w:rPr>
                <w:lang w:val="en-GB"/>
              </w:rPr>
            </w:pPr>
          </w:p>
          <w:p w14:paraId="08737605" w14:textId="0AE3F801" w:rsidR="00900A51" w:rsidRPr="00900A51" w:rsidRDefault="00900A51" w:rsidP="00900A51">
            <w:pPr>
              <w:rPr>
                <w:lang w:val="en-GB"/>
              </w:rPr>
            </w:pPr>
          </w:p>
        </w:tc>
      </w:tr>
      <w:tr w:rsidR="001962F7" w14:paraId="553AA05E" w14:textId="77777777" w:rsidTr="002635AA">
        <w:trPr>
          <w:gridAfter w:val="2"/>
          <w:wAfter w:w="2402" w:type="dxa"/>
        </w:trPr>
        <w:tc>
          <w:tcPr>
            <w:tcW w:w="10065" w:type="dxa"/>
            <w:gridSpan w:val="2"/>
          </w:tcPr>
          <w:p w14:paraId="444FF354" w14:textId="5F5E856E" w:rsidR="00D15C08" w:rsidRPr="0033462D" w:rsidRDefault="001962F7" w:rsidP="001962F7">
            <w:pPr>
              <w:spacing w:line="276" w:lineRule="auto"/>
              <w:rPr>
                <w:rFonts w:asciiTheme="majorHAnsi" w:hAnsiTheme="majorHAnsi"/>
                <w:szCs w:val="20"/>
              </w:rPr>
            </w:pPr>
            <w:r w:rsidRPr="0033462D">
              <w:rPr>
                <w:rFonts w:asciiTheme="majorHAnsi" w:hAnsiTheme="majorHAnsi"/>
                <w:szCs w:val="20"/>
              </w:rPr>
              <w:t>More specific responsibilities include:</w:t>
            </w:r>
          </w:p>
          <w:p w14:paraId="5AD4B6D1" w14:textId="4783244F" w:rsidR="00D15C08" w:rsidRPr="0033462D" w:rsidRDefault="00D15C08" w:rsidP="00793AC9">
            <w:pPr>
              <w:pStyle w:val="NormalWeb"/>
              <w:ind w:left="360"/>
              <w:rPr>
                <w:rFonts w:asciiTheme="majorHAnsi" w:hAnsiTheme="majorHAnsi"/>
                <w:color w:val="005982" w:themeColor="accent1"/>
                <w:sz w:val="20"/>
                <w:szCs w:val="20"/>
              </w:rPr>
            </w:pPr>
            <w:r w:rsidRPr="0033462D">
              <w:rPr>
                <w:rFonts w:asciiTheme="majorHAnsi" w:hAnsiTheme="majorHAnsi"/>
                <w:color w:val="005982" w:themeColor="accent1"/>
                <w:sz w:val="20"/>
                <w:szCs w:val="20"/>
              </w:rPr>
              <w:t>Provid</w:t>
            </w:r>
            <w:r w:rsidR="00FA1A76" w:rsidRPr="0033462D">
              <w:rPr>
                <w:rFonts w:asciiTheme="majorHAnsi" w:hAnsiTheme="majorHAnsi"/>
                <w:color w:val="005982" w:themeColor="accent1"/>
                <w:sz w:val="20"/>
                <w:szCs w:val="20"/>
              </w:rPr>
              <w:t>ing</w:t>
            </w:r>
            <w:r w:rsidRPr="0033462D">
              <w:rPr>
                <w:rFonts w:asciiTheme="majorHAnsi" w:hAnsiTheme="majorHAnsi"/>
                <w:color w:val="005982" w:themeColor="accent1"/>
                <w:sz w:val="20"/>
                <w:szCs w:val="20"/>
              </w:rPr>
              <w:t xml:space="preserve"> comprehensive advice and guidance to employees, managers, schools, and SLA clients on all aspects of the Council’s payroll policies and procedures.</w:t>
            </w:r>
          </w:p>
          <w:p w14:paraId="2D7643B2" w14:textId="01BCBE06" w:rsidR="00D15C08" w:rsidRPr="00E465B7" w:rsidRDefault="00D15C08" w:rsidP="00793AC9">
            <w:pPr>
              <w:pStyle w:val="NormalWeb"/>
              <w:ind w:left="360"/>
              <w:rPr>
                <w:rFonts w:asciiTheme="majorHAnsi" w:hAnsiTheme="majorHAnsi"/>
                <w:color w:val="005982" w:themeColor="accent1"/>
                <w:sz w:val="20"/>
                <w:szCs w:val="20"/>
                <w:lang w:val="en-US"/>
              </w:rPr>
            </w:pPr>
            <w:r w:rsidRPr="0033462D">
              <w:rPr>
                <w:rFonts w:asciiTheme="majorHAnsi" w:hAnsiTheme="majorHAnsi"/>
                <w:color w:val="005982" w:themeColor="accent1"/>
                <w:sz w:val="20"/>
                <w:szCs w:val="20"/>
              </w:rPr>
              <w:t>Provide comprehensive advice and guidance to employees, managers, schools, and SLA clients on all aspects</w:t>
            </w:r>
            <w:r w:rsidR="00DA0287">
              <w:rPr>
                <w:rFonts w:asciiTheme="majorHAnsi" w:hAnsiTheme="majorHAnsi"/>
                <w:color w:val="005982" w:themeColor="accent1"/>
                <w:sz w:val="20"/>
                <w:szCs w:val="20"/>
              </w:rPr>
              <w:t xml:space="preserve"> of</w:t>
            </w:r>
            <w:r w:rsidRPr="0033462D">
              <w:rPr>
                <w:rFonts w:asciiTheme="majorHAnsi" w:hAnsiTheme="majorHAnsi"/>
                <w:color w:val="005982" w:themeColor="accent1"/>
                <w:sz w:val="20"/>
                <w:szCs w:val="20"/>
              </w:rPr>
              <w:t xml:space="preserve"> relevant pension schemes (LGPS, TPS, NHS), including scheme membership, eligibility criteria, auto-enrolment, scheme benefits, and contribution rates.</w:t>
            </w:r>
          </w:p>
          <w:p w14:paraId="2D0FE05A" w14:textId="707CD709" w:rsidR="00D15C08" w:rsidRPr="0033462D" w:rsidRDefault="00D15C08" w:rsidP="00793AC9">
            <w:pPr>
              <w:pStyle w:val="NormalWeb"/>
              <w:ind w:left="360"/>
              <w:rPr>
                <w:rFonts w:asciiTheme="majorHAnsi" w:hAnsiTheme="majorHAnsi"/>
                <w:color w:val="005982" w:themeColor="accent1"/>
                <w:sz w:val="20"/>
                <w:szCs w:val="20"/>
              </w:rPr>
            </w:pPr>
            <w:r w:rsidRPr="0033462D">
              <w:rPr>
                <w:rFonts w:asciiTheme="majorHAnsi" w:hAnsiTheme="majorHAnsi"/>
                <w:color w:val="005982" w:themeColor="accent1"/>
                <w:sz w:val="20"/>
                <w:szCs w:val="20"/>
              </w:rPr>
              <w:t>Ensure employee pay is calculated and paid correctly, within prescribed policy and procedure, meeting legislative requirements and all statutory regulations. This includes pay variations, deductions, overpayments and recoveries, maternity, paternity, occupational/statutory sick pay, cheque preparation, P45, and leave adjustments.</w:t>
            </w:r>
          </w:p>
          <w:p w14:paraId="551EAA9F" w14:textId="005267F7" w:rsidR="00D15C08" w:rsidRPr="0033462D" w:rsidRDefault="00D15C08" w:rsidP="00793AC9">
            <w:pPr>
              <w:pStyle w:val="NormalWeb"/>
              <w:ind w:left="360"/>
              <w:rPr>
                <w:rFonts w:asciiTheme="majorHAnsi" w:hAnsiTheme="majorHAnsi"/>
                <w:color w:val="005982" w:themeColor="accent1"/>
                <w:sz w:val="20"/>
                <w:szCs w:val="20"/>
              </w:rPr>
            </w:pPr>
            <w:r w:rsidRPr="0033462D">
              <w:rPr>
                <w:rFonts w:asciiTheme="majorHAnsi" w:hAnsiTheme="majorHAnsi"/>
                <w:color w:val="005982" w:themeColor="accent1"/>
                <w:sz w:val="20"/>
                <w:szCs w:val="20"/>
              </w:rPr>
              <w:t>Process contractual documentation for amendments and changes to existing posts (leavers and variations), within the scope of legislation, HMRC guidance, pension regulations, and Council policy.</w:t>
            </w:r>
          </w:p>
          <w:p w14:paraId="14846C02" w14:textId="403D9B46" w:rsidR="00D15C08" w:rsidRPr="0033462D" w:rsidRDefault="00D15C08" w:rsidP="005E78CB">
            <w:pPr>
              <w:pStyle w:val="NormalWeb"/>
              <w:ind w:left="360"/>
              <w:rPr>
                <w:rFonts w:asciiTheme="majorHAnsi" w:hAnsiTheme="majorHAnsi"/>
                <w:color w:val="005982" w:themeColor="accent1"/>
                <w:sz w:val="20"/>
                <w:szCs w:val="20"/>
              </w:rPr>
            </w:pPr>
            <w:r w:rsidRPr="0033462D">
              <w:rPr>
                <w:rFonts w:asciiTheme="majorHAnsi" w:hAnsiTheme="majorHAnsi"/>
                <w:color w:val="005982" w:themeColor="accent1"/>
                <w:sz w:val="20"/>
                <w:szCs w:val="20"/>
              </w:rPr>
              <w:t>Advise managers, head teachers, and employees on terms and conditions of service for employees (NJC local government, JNC Chief Officer, NHS, School Teachers), grading systems, differing pay and pension regimes, ensuring consistent application across the Council and schools.</w:t>
            </w:r>
          </w:p>
          <w:p w14:paraId="37303ED3" w14:textId="167AA91E" w:rsidR="00D15C08" w:rsidRPr="0033462D" w:rsidRDefault="00D15C08" w:rsidP="005E78CB">
            <w:pPr>
              <w:pStyle w:val="NormalWeb"/>
              <w:ind w:left="360"/>
              <w:rPr>
                <w:rFonts w:asciiTheme="majorHAnsi" w:hAnsiTheme="majorHAnsi"/>
                <w:color w:val="005982" w:themeColor="accent1"/>
                <w:sz w:val="20"/>
                <w:szCs w:val="20"/>
              </w:rPr>
            </w:pPr>
            <w:r w:rsidRPr="0033462D">
              <w:rPr>
                <w:rFonts w:asciiTheme="majorHAnsi" w:hAnsiTheme="majorHAnsi"/>
                <w:color w:val="005982" w:themeColor="accent1"/>
                <w:sz w:val="20"/>
                <w:szCs w:val="20"/>
              </w:rPr>
              <w:t>Prepare, calculate, and maintain pay and allowances for all external payees, including variations to pay, deductions and recoveries, cheque preparation, distribution of payslips and P45s, in line with Service Level Agreements (SLA) and multiple deadlines, ensuring payees receive monthly salaries.</w:t>
            </w:r>
          </w:p>
          <w:p w14:paraId="50E70409" w14:textId="7AB6B1D2" w:rsidR="00D15C08" w:rsidRPr="0033462D" w:rsidRDefault="00D15C08" w:rsidP="005E78CB">
            <w:pPr>
              <w:pStyle w:val="NormalWeb"/>
              <w:ind w:left="360"/>
              <w:rPr>
                <w:rFonts w:asciiTheme="majorHAnsi" w:hAnsiTheme="majorHAnsi"/>
                <w:color w:val="005982" w:themeColor="accent1"/>
                <w:sz w:val="20"/>
                <w:szCs w:val="20"/>
              </w:rPr>
            </w:pPr>
            <w:r w:rsidRPr="0033462D">
              <w:rPr>
                <w:rFonts w:asciiTheme="majorHAnsi" w:hAnsiTheme="majorHAnsi"/>
                <w:color w:val="005982" w:themeColor="accent1"/>
                <w:sz w:val="20"/>
                <w:szCs w:val="20"/>
              </w:rPr>
              <w:t>Analyse reports produced for all payrolls following the gross-to-net calculation, acting upon and reconciling discrepancies prior to final calculation. Prepare costing and cheque reconciliation reports to record payment of monies collected from employees to statutory agencies, pension providers, etc., completing all tasks to ensure employee records are accurate and financial liability on the Council is minimised.</w:t>
            </w:r>
          </w:p>
          <w:p w14:paraId="4992AFE0" w14:textId="4DD0C1E5" w:rsidR="00D15C08" w:rsidRPr="0033462D" w:rsidRDefault="00D15C08" w:rsidP="005E78CB">
            <w:pPr>
              <w:pStyle w:val="NormalWeb"/>
              <w:ind w:left="360"/>
              <w:rPr>
                <w:rFonts w:asciiTheme="majorHAnsi" w:hAnsiTheme="majorHAnsi"/>
                <w:color w:val="005982" w:themeColor="accent1"/>
                <w:sz w:val="20"/>
                <w:szCs w:val="20"/>
              </w:rPr>
            </w:pPr>
            <w:r w:rsidRPr="0033462D">
              <w:rPr>
                <w:rFonts w:asciiTheme="majorHAnsi" w:hAnsiTheme="majorHAnsi"/>
                <w:color w:val="005982" w:themeColor="accent1"/>
                <w:sz w:val="20"/>
                <w:szCs w:val="20"/>
              </w:rPr>
              <w:t xml:space="preserve">Support production of monthly payroll reconciliation reports, investigating and correcting anomalies to enable accurate completion of statutory and other returns. Review </w:t>
            </w:r>
            <w:r w:rsidRPr="0033462D">
              <w:rPr>
                <w:rFonts w:asciiTheme="majorHAnsi" w:hAnsiTheme="majorHAnsi"/>
                <w:sz w:val="20"/>
                <w:szCs w:val="20"/>
              </w:rPr>
              <w:t xml:space="preserve">monthly reconciliation </w:t>
            </w:r>
            <w:r w:rsidRPr="0033462D">
              <w:rPr>
                <w:rFonts w:asciiTheme="majorHAnsi" w:hAnsiTheme="majorHAnsi"/>
                <w:color w:val="005982" w:themeColor="accent1"/>
                <w:sz w:val="20"/>
                <w:szCs w:val="20"/>
              </w:rPr>
              <w:t>processes to develop reports providing information required to meet internal and external audit controls, utilising the functionality of all computerised systems.</w:t>
            </w:r>
          </w:p>
          <w:p w14:paraId="1B71FFB7" w14:textId="11FF1A17" w:rsidR="00D15C08" w:rsidRPr="0033462D" w:rsidRDefault="00D15C08" w:rsidP="005E78CB">
            <w:pPr>
              <w:pStyle w:val="NormalWeb"/>
              <w:ind w:left="360"/>
              <w:rPr>
                <w:rFonts w:asciiTheme="majorHAnsi" w:hAnsiTheme="majorHAnsi"/>
                <w:color w:val="005982" w:themeColor="accent1"/>
                <w:sz w:val="20"/>
                <w:szCs w:val="20"/>
              </w:rPr>
            </w:pPr>
            <w:r w:rsidRPr="0033462D">
              <w:rPr>
                <w:rFonts w:asciiTheme="majorHAnsi" w:hAnsiTheme="majorHAnsi"/>
                <w:color w:val="005982" w:themeColor="accent1"/>
                <w:sz w:val="20"/>
                <w:szCs w:val="20"/>
              </w:rPr>
              <w:t>Using various statistical reporting and analysis tools, support the completion of all statutory returns (annual and monthly), ensuring the Council meets all legislative, statutory, and pension scheme obligations.</w:t>
            </w:r>
          </w:p>
          <w:p w14:paraId="7F6BD310" w14:textId="0298A519" w:rsidR="00D15C08" w:rsidRPr="0033462D" w:rsidRDefault="00D15C08" w:rsidP="005E78CB">
            <w:pPr>
              <w:pStyle w:val="NormalWeb"/>
              <w:ind w:left="360"/>
              <w:rPr>
                <w:rFonts w:asciiTheme="majorHAnsi" w:hAnsiTheme="majorHAnsi"/>
                <w:color w:val="005982" w:themeColor="accent1"/>
                <w:sz w:val="20"/>
                <w:szCs w:val="20"/>
              </w:rPr>
            </w:pPr>
            <w:r w:rsidRPr="0033462D">
              <w:rPr>
                <w:rFonts w:asciiTheme="majorHAnsi" w:hAnsiTheme="majorHAnsi"/>
                <w:color w:val="005982" w:themeColor="accent1"/>
                <w:sz w:val="20"/>
                <w:szCs w:val="20"/>
              </w:rPr>
              <w:t>Support the preparation of pension scheme benefit and redundancy payment estimates, providing accurate and relevant information within agreed timescales to enable employees and the Council to make informed decisions on compulsory or voluntary severance.</w:t>
            </w:r>
          </w:p>
          <w:p w14:paraId="668D06DE" w14:textId="35026129" w:rsidR="00D15C08" w:rsidRPr="0033462D" w:rsidRDefault="00D15C08" w:rsidP="005E78CB">
            <w:pPr>
              <w:pStyle w:val="NormalWeb"/>
              <w:ind w:left="360"/>
              <w:rPr>
                <w:rFonts w:asciiTheme="majorHAnsi" w:hAnsiTheme="majorHAnsi"/>
                <w:color w:val="005982" w:themeColor="accent1"/>
                <w:sz w:val="20"/>
                <w:szCs w:val="20"/>
              </w:rPr>
            </w:pPr>
            <w:r w:rsidRPr="0033462D">
              <w:rPr>
                <w:rFonts w:asciiTheme="majorHAnsi" w:hAnsiTheme="majorHAnsi"/>
                <w:color w:val="005982" w:themeColor="accent1"/>
                <w:sz w:val="20"/>
                <w:szCs w:val="20"/>
              </w:rPr>
              <w:t>Support the reconciliation of pension information for schools that use external HR/pay providers, following up anomalies and taking corrective action to facilitate accurate reporting and returns.</w:t>
            </w:r>
          </w:p>
          <w:p w14:paraId="4B4D6ECE" w14:textId="37563AC3" w:rsidR="00D15C08" w:rsidRPr="0033462D" w:rsidRDefault="00D15C08" w:rsidP="005E78CB">
            <w:pPr>
              <w:pStyle w:val="NormalWeb"/>
              <w:ind w:left="360"/>
              <w:rPr>
                <w:rFonts w:asciiTheme="majorHAnsi" w:hAnsiTheme="majorHAnsi"/>
                <w:color w:val="005982" w:themeColor="accent1"/>
                <w:sz w:val="20"/>
                <w:szCs w:val="20"/>
              </w:rPr>
            </w:pPr>
            <w:r w:rsidRPr="0033462D">
              <w:rPr>
                <w:rFonts w:asciiTheme="majorHAnsi" w:hAnsiTheme="majorHAnsi"/>
                <w:color w:val="005982" w:themeColor="accent1"/>
                <w:sz w:val="20"/>
                <w:szCs w:val="20"/>
              </w:rPr>
              <w:t>Work on projects with other teams or departments as required.</w:t>
            </w:r>
          </w:p>
          <w:p w14:paraId="74A0ADD9" w14:textId="021925A8" w:rsidR="00D15C08" w:rsidRPr="0033462D" w:rsidRDefault="00D15C08" w:rsidP="005E78CB">
            <w:pPr>
              <w:pStyle w:val="NormalWeb"/>
              <w:ind w:left="360"/>
              <w:rPr>
                <w:rFonts w:asciiTheme="majorHAnsi" w:hAnsiTheme="majorHAnsi"/>
                <w:color w:val="005982" w:themeColor="accent1"/>
                <w:sz w:val="20"/>
                <w:szCs w:val="20"/>
              </w:rPr>
            </w:pPr>
            <w:r w:rsidRPr="0033462D">
              <w:rPr>
                <w:rFonts w:asciiTheme="majorHAnsi" w:hAnsiTheme="majorHAnsi"/>
                <w:color w:val="005982" w:themeColor="accent1"/>
                <w:sz w:val="20"/>
                <w:szCs w:val="20"/>
              </w:rPr>
              <w:t>Carry out system testing of new enhancements to the computerised HR/Pay system and produce guidance for both internal and external users, enabling the Division to provide an effective and efficient service.</w:t>
            </w:r>
          </w:p>
          <w:p w14:paraId="533A55F1" w14:textId="19C65734" w:rsidR="00D15C08" w:rsidRPr="0033462D" w:rsidRDefault="00D15C08" w:rsidP="005E78CB">
            <w:pPr>
              <w:pStyle w:val="NormalWeb"/>
              <w:ind w:left="360"/>
              <w:rPr>
                <w:rFonts w:asciiTheme="majorHAnsi" w:hAnsiTheme="majorHAnsi"/>
                <w:color w:val="005982" w:themeColor="accent1"/>
                <w:sz w:val="20"/>
                <w:szCs w:val="20"/>
              </w:rPr>
            </w:pPr>
            <w:r w:rsidRPr="0033462D">
              <w:rPr>
                <w:rFonts w:asciiTheme="majorHAnsi" w:hAnsiTheme="majorHAnsi"/>
                <w:color w:val="005982" w:themeColor="accent1"/>
                <w:sz w:val="20"/>
                <w:szCs w:val="20"/>
              </w:rPr>
              <w:t>Undertake any other duties and responsibilities as may be assigned from time to time, commensurate with the grade of the job.</w:t>
            </w:r>
          </w:p>
          <w:p w14:paraId="41DEFCB2" w14:textId="1646A483" w:rsidR="00A447D8" w:rsidRPr="0033462D" w:rsidRDefault="00A447D8" w:rsidP="00D15C08">
            <w:pPr>
              <w:spacing w:line="276" w:lineRule="auto"/>
              <w:ind w:left="720"/>
              <w:rPr>
                <w:rFonts w:asciiTheme="majorHAnsi" w:hAnsiTheme="majorHAnsi"/>
                <w:szCs w:val="20"/>
                <w:lang w:val="en-GB"/>
              </w:rPr>
            </w:pPr>
          </w:p>
          <w:p w14:paraId="62A19DB5" w14:textId="77777777" w:rsidR="00195D43" w:rsidRPr="0033462D" w:rsidRDefault="00195D43" w:rsidP="001962F7">
            <w:pPr>
              <w:spacing w:line="276" w:lineRule="auto"/>
              <w:rPr>
                <w:rFonts w:asciiTheme="majorHAnsi" w:hAnsiTheme="majorHAnsi"/>
                <w:szCs w:val="20"/>
              </w:rPr>
            </w:pPr>
          </w:p>
          <w:p w14:paraId="4D7D669B" w14:textId="77777777" w:rsidR="00195D43" w:rsidRPr="0033462D" w:rsidRDefault="00195D43" w:rsidP="001962F7">
            <w:pPr>
              <w:spacing w:line="276" w:lineRule="auto"/>
              <w:rPr>
                <w:rFonts w:asciiTheme="majorHAnsi" w:hAnsiTheme="majorHAnsi"/>
                <w:szCs w:val="20"/>
              </w:rPr>
            </w:pPr>
          </w:p>
          <w:p w14:paraId="57BBA876" w14:textId="52133894" w:rsidR="00624660" w:rsidRPr="0033462D" w:rsidRDefault="00624660" w:rsidP="001962F7">
            <w:pPr>
              <w:spacing w:line="276" w:lineRule="auto"/>
              <w:rPr>
                <w:rFonts w:asciiTheme="majorHAnsi" w:hAnsiTheme="majorHAnsi"/>
                <w:szCs w:val="20"/>
              </w:rPr>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85D5EBB" w14:textId="77777777" w:rsidR="00DD04E0" w:rsidRPr="0033462D" w:rsidRDefault="00464888" w:rsidP="00395C1F">
            <w:pPr>
              <w:pStyle w:val="Heading1"/>
              <w:spacing w:line="360" w:lineRule="auto"/>
              <w:rPr>
                <w:sz w:val="20"/>
                <w:szCs w:val="20"/>
              </w:rPr>
            </w:pPr>
            <w:r w:rsidRPr="0033462D">
              <w:rPr>
                <w:sz w:val="20"/>
                <w:szCs w:val="20"/>
              </w:rPr>
              <w:t>About You</w:t>
            </w:r>
            <w:r w:rsidR="002B45D3" w:rsidRPr="0033462D">
              <w:rPr>
                <w:sz w:val="20"/>
                <w:szCs w:val="20"/>
              </w:rPr>
              <w:t xml:space="preserve"> </w:t>
            </w:r>
          </w:p>
          <w:p w14:paraId="40A7836F" w14:textId="00BA4338" w:rsidR="00DD04E0" w:rsidRPr="0033462D" w:rsidRDefault="00DD04E0" w:rsidP="00DD04E0">
            <w:pPr>
              <w:pStyle w:val="Default"/>
              <w:rPr>
                <w:rFonts w:asciiTheme="majorHAnsi" w:hAnsiTheme="majorHAnsi"/>
                <w:color w:val="005982" w:themeColor="accent1"/>
                <w:sz w:val="20"/>
                <w:szCs w:val="20"/>
              </w:rPr>
            </w:pPr>
            <w:r w:rsidRPr="0033462D">
              <w:rPr>
                <w:rFonts w:asciiTheme="majorHAnsi" w:hAnsiTheme="majorHAnsi"/>
                <w:color w:val="005982" w:themeColor="accent1"/>
                <w:sz w:val="20"/>
                <w:szCs w:val="20"/>
              </w:rPr>
              <w:t xml:space="preserve">You will have </w:t>
            </w:r>
            <w:r w:rsidR="002B45D3" w:rsidRPr="0033462D">
              <w:rPr>
                <w:rFonts w:asciiTheme="majorHAnsi" w:hAnsiTheme="majorHAnsi"/>
                <w:color w:val="005982" w:themeColor="accent1"/>
                <w:sz w:val="20"/>
                <w:szCs w:val="20"/>
              </w:rPr>
              <w:t xml:space="preserve"> </w:t>
            </w:r>
            <w:r w:rsidRPr="0033462D">
              <w:rPr>
                <w:rFonts w:asciiTheme="majorHAnsi" w:hAnsiTheme="majorHAnsi"/>
                <w:color w:val="005982" w:themeColor="accent1"/>
                <w:sz w:val="20"/>
                <w:szCs w:val="20"/>
              </w:rPr>
              <w:t xml:space="preserve">a recognised BTEC Level 3 Advanced Certificate in Payroll Techniques / Payroll Procedures qualification, or equivalent evidence of appropriate level of skills, HR / payroll knowledge and ability </w:t>
            </w:r>
          </w:p>
          <w:p w14:paraId="45270666" w14:textId="77777777" w:rsidR="008B2A1A" w:rsidRPr="0033462D" w:rsidRDefault="008B2A1A" w:rsidP="008B2A1A">
            <w:pPr>
              <w:rPr>
                <w:color w:val="005982" w:themeColor="accent1"/>
                <w:szCs w:val="20"/>
              </w:rPr>
            </w:pPr>
          </w:p>
        </w:tc>
      </w:tr>
      <w:tr w:rsidR="00464888" w14:paraId="17CD1997" w14:textId="77777777" w:rsidTr="002635AA">
        <w:trPr>
          <w:gridAfter w:val="2"/>
          <w:wAfter w:w="2402" w:type="dxa"/>
        </w:trPr>
        <w:tc>
          <w:tcPr>
            <w:tcW w:w="10065" w:type="dxa"/>
            <w:gridSpan w:val="2"/>
          </w:tcPr>
          <w:p w14:paraId="5B59C699" w14:textId="31CFEB7A" w:rsidR="008A28B5" w:rsidRPr="0033462D" w:rsidRDefault="008A28B5" w:rsidP="00FE52AB">
            <w:pPr>
              <w:spacing w:line="276" w:lineRule="auto"/>
              <w:rPr>
                <w:color w:val="005982" w:themeColor="accent1"/>
                <w:szCs w:val="20"/>
              </w:rPr>
            </w:pPr>
          </w:p>
          <w:p w14:paraId="77B47622" w14:textId="0A90A0F2" w:rsidR="008A28B5" w:rsidRPr="0033462D" w:rsidRDefault="008A28B5" w:rsidP="00FE52AB">
            <w:pPr>
              <w:spacing w:line="276" w:lineRule="auto"/>
              <w:rPr>
                <w:color w:val="005982" w:themeColor="accent1"/>
                <w:szCs w:val="20"/>
              </w:rPr>
            </w:pPr>
            <w:r w:rsidRPr="0033462D">
              <w:rPr>
                <w:color w:val="005982" w:themeColor="accent1"/>
                <w:szCs w:val="20"/>
              </w:rPr>
              <w:t xml:space="preserve">In addition </w:t>
            </w:r>
            <w:r w:rsidR="00213E7B" w:rsidRPr="0033462D">
              <w:rPr>
                <w:color w:val="005982" w:themeColor="accent1"/>
                <w:szCs w:val="20"/>
              </w:rPr>
              <w:t>you</w:t>
            </w:r>
            <w:r w:rsidRPr="0033462D">
              <w:rPr>
                <w:color w:val="005982" w:themeColor="accent1"/>
                <w:szCs w:val="20"/>
              </w:rPr>
              <w:t xml:space="preserve"> will have:</w:t>
            </w:r>
          </w:p>
          <w:p w14:paraId="4B984300" w14:textId="72874A34" w:rsidR="00AB49C5" w:rsidRPr="0033462D" w:rsidRDefault="00974E97" w:rsidP="00AB49C5">
            <w:pPr>
              <w:pStyle w:val="Default"/>
              <w:rPr>
                <w:rFonts w:asciiTheme="minorHAnsi" w:hAnsiTheme="minorHAnsi"/>
                <w:color w:val="005982" w:themeColor="accent1"/>
                <w:sz w:val="20"/>
                <w:szCs w:val="20"/>
              </w:rPr>
            </w:pPr>
            <w:r w:rsidRPr="0033462D">
              <w:rPr>
                <w:rFonts w:asciiTheme="minorHAnsi" w:hAnsiTheme="minorHAnsi"/>
                <w:color w:val="005982" w:themeColor="accent1"/>
                <w:sz w:val="20"/>
                <w:szCs w:val="20"/>
              </w:rPr>
              <w:t>Experience</w:t>
            </w:r>
            <w:r>
              <w:rPr>
                <w:rFonts w:asciiTheme="minorHAnsi" w:hAnsiTheme="minorHAnsi"/>
                <w:color w:val="005982" w:themeColor="accent1"/>
                <w:sz w:val="20"/>
                <w:szCs w:val="20"/>
              </w:rPr>
              <w:t xml:space="preserve"> w</w:t>
            </w:r>
            <w:r w:rsidR="00AB49C5" w:rsidRPr="0033462D">
              <w:rPr>
                <w:rFonts w:asciiTheme="minorHAnsi" w:hAnsiTheme="minorHAnsi"/>
                <w:color w:val="005982" w:themeColor="accent1"/>
                <w:sz w:val="20"/>
                <w:szCs w:val="20"/>
              </w:rPr>
              <w:t>ork</w:t>
            </w:r>
            <w:r w:rsidR="00281E93" w:rsidRPr="0033462D">
              <w:rPr>
                <w:rFonts w:asciiTheme="minorHAnsi" w:hAnsiTheme="minorHAnsi"/>
                <w:color w:val="005982" w:themeColor="accent1"/>
                <w:sz w:val="20"/>
                <w:szCs w:val="20"/>
              </w:rPr>
              <w:t>ing</w:t>
            </w:r>
            <w:r w:rsidR="00AB49C5" w:rsidRPr="0033462D">
              <w:rPr>
                <w:rFonts w:asciiTheme="minorHAnsi" w:hAnsiTheme="minorHAnsi"/>
                <w:color w:val="005982" w:themeColor="accent1"/>
                <w:sz w:val="20"/>
                <w:szCs w:val="20"/>
              </w:rPr>
              <w:t xml:space="preserve"> in a HR / Payroll service environment. </w:t>
            </w:r>
          </w:p>
          <w:p w14:paraId="2B4F4299" w14:textId="3D16295E" w:rsidR="00AB49C5" w:rsidRPr="0033462D" w:rsidRDefault="00AB49C5" w:rsidP="00AB49C5">
            <w:pPr>
              <w:pStyle w:val="Default"/>
              <w:rPr>
                <w:rFonts w:asciiTheme="minorHAnsi" w:hAnsiTheme="minorHAnsi"/>
                <w:color w:val="005982" w:themeColor="accent1"/>
                <w:sz w:val="20"/>
                <w:szCs w:val="20"/>
              </w:rPr>
            </w:pPr>
            <w:r w:rsidRPr="0033462D">
              <w:rPr>
                <w:rFonts w:asciiTheme="minorHAnsi" w:hAnsiTheme="minorHAnsi"/>
                <w:color w:val="005982" w:themeColor="accent1"/>
                <w:sz w:val="20"/>
                <w:szCs w:val="20"/>
              </w:rPr>
              <w:t>Wo</w:t>
            </w:r>
            <w:r w:rsidR="00A2350D" w:rsidRPr="0033462D">
              <w:rPr>
                <w:rFonts w:asciiTheme="minorHAnsi" w:hAnsiTheme="minorHAnsi"/>
                <w:color w:val="005982" w:themeColor="accent1"/>
                <w:sz w:val="20"/>
                <w:szCs w:val="20"/>
              </w:rPr>
              <w:t>rk</w:t>
            </w:r>
            <w:r w:rsidR="00617D5E" w:rsidRPr="0033462D">
              <w:rPr>
                <w:rFonts w:asciiTheme="minorHAnsi" w:hAnsiTheme="minorHAnsi"/>
                <w:color w:val="005982" w:themeColor="accent1"/>
                <w:sz w:val="20"/>
                <w:szCs w:val="20"/>
              </w:rPr>
              <w:t xml:space="preserve"> experience </w:t>
            </w:r>
            <w:r w:rsidR="00A2350D" w:rsidRPr="0033462D">
              <w:rPr>
                <w:rFonts w:asciiTheme="minorHAnsi" w:hAnsiTheme="minorHAnsi"/>
                <w:color w:val="005982" w:themeColor="accent1"/>
                <w:sz w:val="20"/>
                <w:szCs w:val="20"/>
              </w:rPr>
              <w:t xml:space="preserve"> of </w:t>
            </w:r>
            <w:r w:rsidRPr="0033462D">
              <w:rPr>
                <w:rFonts w:asciiTheme="minorHAnsi" w:hAnsiTheme="minorHAnsi"/>
                <w:color w:val="005982" w:themeColor="accent1"/>
                <w:sz w:val="20"/>
                <w:szCs w:val="20"/>
              </w:rPr>
              <w:t xml:space="preserve">a technical administrative nature in an office environment, dealing with members of the public, managers, employees, and external agencies. </w:t>
            </w:r>
          </w:p>
          <w:p w14:paraId="1ABABB21" w14:textId="2CC65ECE" w:rsidR="00AB49C5" w:rsidRPr="0033462D" w:rsidRDefault="00934F88" w:rsidP="00AB49C5">
            <w:pPr>
              <w:pStyle w:val="Default"/>
              <w:rPr>
                <w:rFonts w:asciiTheme="minorHAnsi" w:hAnsiTheme="minorHAnsi"/>
                <w:color w:val="005982" w:themeColor="accent1"/>
                <w:sz w:val="20"/>
                <w:szCs w:val="20"/>
              </w:rPr>
            </w:pPr>
            <w:r>
              <w:rPr>
                <w:rFonts w:asciiTheme="minorHAnsi" w:hAnsiTheme="minorHAnsi"/>
                <w:color w:val="005982" w:themeColor="accent1"/>
                <w:sz w:val="20"/>
                <w:szCs w:val="20"/>
              </w:rPr>
              <w:t>Experience</w:t>
            </w:r>
            <w:r w:rsidR="00E90D4D">
              <w:rPr>
                <w:rFonts w:asciiTheme="minorHAnsi" w:hAnsiTheme="minorHAnsi"/>
                <w:color w:val="005982" w:themeColor="accent1"/>
                <w:sz w:val="20"/>
                <w:szCs w:val="20"/>
              </w:rPr>
              <w:t xml:space="preserve"> w</w:t>
            </w:r>
            <w:r w:rsidR="00AB49C5" w:rsidRPr="0033462D">
              <w:rPr>
                <w:rFonts w:asciiTheme="minorHAnsi" w:hAnsiTheme="minorHAnsi"/>
                <w:color w:val="005982" w:themeColor="accent1"/>
                <w:sz w:val="20"/>
                <w:szCs w:val="20"/>
              </w:rPr>
              <w:t xml:space="preserve">orking with electronic document management systems (paperless office environment) </w:t>
            </w:r>
          </w:p>
          <w:p w14:paraId="08A9A8C6" w14:textId="6FC7D6F8" w:rsidR="00AB49C5" w:rsidRPr="0033462D" w:rsidRDefault="00E90D4D" w:rsidP="00AB49C5">
            <w:pPr>
              <w:pStyle w:val="Default"/>
              <w:rPr>
                <w:rFonts w:asciiTheme="minorHAnsi" w:hAnsiTheme="minorHAnsi"/>
                <w:color w:val="005982" w:themeColor="accent1"/>
                <w:sz w:val="20"/>
                <w:szCs w:val="20"/>
              </w:rPr>
            </w:pPr>
            <w:r>
              <w:rPr>
                <w:rFonts w:asciiTheme="minorHAnsi" w:hAnsiTheme="minorHAnsi"/>
                <w:color w:val="005982" w:themeColor="accent1"/>
                <w:sz w:val="20"/>
                <w:szCs w:val="20"/>
              </w:rPr>
              <w:t>Experience w</w:t>
            </w:r>
            <w:r w:rsidR="00AB49C5" w:rsidRPr="0033462D">
              <w:rPr>
                <w:rFonts w:asciiTheme="minorHAnsi" w:hAnsiTheme="minorHAnsi"/>
                <w:color w:val="005982" w:themeColor="accent1"/>
                <w:sz w:val="20"/>
                <w:szCs w:val="20"/>
              </w:rPr>
              <w:t xml:space="preserve">orking with integrated HR/payroll software systems </w:t>
            </w:r>
          </w:p>
          <w:p w14:paraId="6FBC67DA" w14:textId="77777777" w:rsidR="00AB49C5" w:rsidRPr="0033462D" w:rsidRDefault="00AB49C5" w:rsidP="00AB49C5">
            <w:pPr>
              <w:pStyle w:val="Default"/>
              <w:rPr>
                <w:rFonts w:asciiTheme="minorHAnsi" w:hAnsiTheme="minorHAnsi"/>
                <w:color w:val="005982" w:themeColor="accent1"/>
                <w:sz w:val="20"/>
                <w:szCs w:val="20"/>
              </w:rPr>
            </w:pPr>
            <w:r w:rsidRPr="0033462D">
              <w:rPr>
                <w:rFonts w:asciiTheme="minorHAnsi" w:hAnsiTheme="minorHAnsi"/>
                <w:color w:val="005982" w:themeColor="accent1"/>
                <w:sz w:val="20"/>
                <w:szCs w:val="20"/>
              </w:rPr>
              <w:t xml:space="preserve">Experience of organising and managing own workload to meet deadlines. </w:t>
            </w:r>
          </w:p>
          <w:p w14:paraId="29E911AE" w14:textId="77777777" w:rsidR="00AB49C5" w:rsidRPr="0033462D" w:rsidRDefault="00AB49C5" w:rsidP="00AB49C5">
            <w:pPr>
              <w:pStyle w:val="Default"/>
              <w:rPr>
                <w:rFonts w:asciiTheme="minorHAnsi" w:hAnsiTheme="minorHAnsi"/>
                <w:color w:val="005982" w:themeColor="accent1"/>
                <w:sz w:val="20"/>
                <w:szCs w:val="20"/>
              </w:rPr>
            </w:pPr>
            <w:r w:rsidRPr="0033462D">
              <w:rPr>
                <w:rFonts w:asciiTheme="minorHAnsi" w:hAnsiTheme="minorHAnsi"/>
                <w:color w:val="005982" w:themeColor="accent1"/>
                <w:sz w:val="20"/>
                <w:szCs w:val="20"/>
              </w:rPr>
              <w:t xml:space="preserve">Experience of working in a customer focused operation, delivering high levels of customer service. </w:t>
            </w:r>
          </w:p>
          <w:p w14:paraId="2F849EF8" w14:textId="77777777" w:rsidR="00AB49C5" w:rsidRPr="0033462D" w:rsidRDefault="00AB49C5" w:rsidP="00AB49C5">
            <w:pPr>
              <w:pStyle w:val="Default"/>
              <w:rPr>
                <w:rFonts w:asciiTheme="majorHAnsi" w:hAnsiTheme="majorHAnsi"/>
                <w:color w:val="005982" w:themeColor="accent1"/>
                <w:sz w:val="20"/>
                <w:szCs w:val="20"/>
              </w:rPr>
            </w:pPr>
            <w:r w:rsidRPr="0033462D">
              <w:rPr>
                <w:rFonts w:asciiTheme="majorHAnsi" w:hAnsiTheme="majorHAnsi"/>
                <w:color w:val="005982" w:themeColor="accent1"/>
                <w:sz w:val="20"/>
                <w:szCs w:val="20"/>
              </w:rPr>
              <w:t xml:space="preserve">Knowledge of payroll and HR processes in a multi-function organisation. </w:t>
            </w:r>
          </w:p>
          <w:p w14:paraId="0DD36178" w14:textId="77777777" w:rsidR="00AB49C5" w:rsidRPr="0033462D" w:rsidRDefault="00AB49C5" w:rsidP="00AB49C5">
            <w:pPr>
              <w:pStyle w:val="Default"/>
              <w:rPr>
                <w:rFonts w:asciiTheme="majorHAnsi" w:hAnsiTheme="majorHAnsi"/>
                <w:color w:val="005982" w:themeColor="accent1"/>
                <w:sz w:val="20"/>
                <w:szCs w:val="20"/>
              </w:rPr>
            </w:pPr>
            <w:r w:rsidRPr="0033462D">
              <w:rPr>
                <w:rFonts w:asciiTheme="majorHAnsi" w:hAnsiTheme="majorHAnsi"/>
                <w:color w:val="005982" w:themeColor="accent1"/>
                <w:sz w:val="20"/>
                <w:szCs w:val="20"/>
              </w:rPr>
              <w:t xml:space="preserve">Knowledge of key features of payroll and pensions administration, including reconciliation of gross to net calculation </w:t>
            </w:r>
          </w:p>
          <w:p w14:paraId="014EF61D" w14:textId="77777777" w:rsidR="00AB49C5" w:rsidRPr="0033462D" w:rsidRDefault="00AB49C5" w:rsidP="00AB49C5">
            <w:pPr>
              <w:pStyle w:val="Default"/>
              <w:rPr>
                <w:rFonts w:asciiTheme="majorHAnsi" w:hAnsiTheme="majorHAnsi"/>
                <w:color w:val="005982" w:themeColor="accent1"/>
                <w:sz w:val="20"/>
                <w:szCs w:val="20"/>
              </w:rPr>
            </w:pPr>
            <w:r w:rsidRPr="0033462D">
              <w:rPr>
                <w:rFonts w:asciiTheme="majorHAnsi" w:hAnsiTheme="majorHAnsi"/>
                <w:color w:val="005982" w:themeColor="accent1"/>
                <w:sz w:val="20"/>
                <w:szCs w:val="20"/>
              </w:rPr>
              <w:t xml:space="preserve">Up to date working knowledge of employment legislation, applicable to processing of pay and administration of pension scheme membership, including auto-enrolment </w:t>
            </w:r>
          </w:p>
          <w:p w14:paraId="4D446EE1" w14:textId="77777777" w:rsidR="00AB49C5" w:rsidRPr="0033462D" w:rsidRDefault="00AB49C5" w:rsidP="00AB49C5">
            <w:pPr>
              <w:pStyle w:val="Default"/>
              <w:rPr>
                <w:rFonts w:asciiTheme="majorHAnsi" w:hAnsiTheme="majorHAnsi"/>
                <w:color w:val="005982" w:themeColor="accent1"/>
                <w:sz w:val="20"/>
                <w:szCs w:val="20"/>
              </w:rPr>
            </w:pPr>
            <w:r w:rsidRPr="0033462D">
              <w:rPr>
                <w:rFonts w:asciiTheme="majorHAnsi" w:hAnsiTheme="majorHAnsi"/>
                <w:color w:val="005982" w:themeColor="accent1"/>
                <w:sz w:val="20"/>
                <w:szCs w:val="20"/>
              </w:rPr>
              <w:t xml:space="preserve">Up to date working knowledge of employment practice in schools </w:t>
            </w:r>
          </w:p>
          <w:p w14:paraId="555E9E5B" w14:textId="77777777" w:rsidR="00AB49C5" w:rsidRPr="0033462D" w:rsidRDefault="00AB49C5" w:rsidP="00AB49C5">
            <w:pPr>
              <w:pStyle w:val="Default"/>
              <w:rPr>
                <w:rFonts w:asciiTheme="majorHAnsi" w:hAnsiTheme="majorHAnsi"/>
                <w:color w:val="005982" w:themeColor="accent1"/>
                <w:sz w:val="20"/>
                <w:szCs w:val="20"/>
              </w:rPr>
            </w:pPr>
            <w:r w:rsidRPr="0033462D">
              <w:rPr>
                <w:rFonts w:asciiTheme="majorHAnsi" w:hAnsiTheme="majorHAnsi"/>
                <w:color w:val="005982" w:themeColor="accent1"/>
                <w:sz w:val="20"/>
                <w:szCs w:val="20"/>
              </w:rPr>
              <w:t xml:space="preserve">Knowledge of Local Government and / or Teachers, and / or NHS terms and conditions of employment </w:t>
            </w:r>
          </w:p>
          <w:p w14:paraId="29EDEE97" w14:textId="77777777" w:rsidR="00AB49C5" w:rsidRPr="0033462D" w:rsidRDefault="00AB49C5" w:rsidP="00AB49C5">
            <w:pPr>
              <w:pStyle w:val="Default"/>
              <w:rPr>
                <w:rFonts w:asciiTheme="majorHAnsi" w:hAnsiTheme="majorHAnsi"/>
                <w:color w:val="005982" w:themeColor="accent1"/>
                <w:sz w:val="20"/>
                <w:szCs w:val="20"/>
              </w:rPr>
            </w:pPr>
            <w:r w:rsidRPr="0033462D">
              <w:rPr>
                <w:rFonts w:asciiTheme="majorHAnsi" w:hAnsiTheme="majorHAnsi"/>
                <w:color w:val="005982" w:themeColor="accent1"/>
                <w:sz w:val="20"/>
                <w:szCs w:val="20"/>
              </w:rPr>
              <w:t xml:space="preserve">Knowledge public sector pension schemes. </w:t>
            </w:r>
          </w:p>
          <w:p w14:paraId="27E6CF0E" w14:textId="77777777" w:rsidR="00AB49C5" w:rsidRPr="0033462D" w:rsidRDefault="00AB49C5" w:rsidP="00AB49C5">
            <w:pPr>
              <w:pStyle w:val="Default"/>
              <w:rPr>
                <w:rFonts w:asciiTheme="majorHAnsi" w:hAnsiTheme="majorHAnsi"/>
                <w:color w:val="005982" w:themeColor="accent1"/>
                <w:sz w:val="20"/>
                <w:szCs w:val="20"/>
              </w:rPr>
            </w:pPr>
            <w:r w:rsidRPr="0033462D">
              <w:rPr>
                <w:rFonts w:asciiTheme="majorHAnsi" w:hAnsiTheme="majorHAnsi"/>
                <w:color w:val="005982" w:themeColor="accent1"/>
                <w:sz w:val="20"/>
                <w:szCs w:val="20"/>
              </w:rPr>
              <w:t xml:space="preserve">Knowledge of payroll calculation protocols, enabling identification and rectification of discrepancies </w:t>
            </w:r>
          </w:p>
          <w:p w14:paraId="7B985408" w14:textId="77777777" w:rsidR="00AB49C5" w:rsidRPr="0033462D" w:rsidRDefault="00AB49C5" w:rsidP="00AB49C5">
            <w:pPr>
              <w:pStyle w:val="Default"/>
              <w:rPr>
                <w:rFonts w:asciiTheme="minorHAnsi" w:hAnsiTheme="minorHAnsi"/>
                <w:color w:val="005982" w:themeColor="accent1"/>
                <w:sz w:val="20"/>
                <w:szCs w:val="20"/>
              </w:rPr>
            </w:pPr>
            <w:r w:rsidRPr="0033462D">
              <w:rPr>
                <w:rFonts w:asciiTheme="minorHAnsi" w:hAnsiTheme="minorHAnsi"/>
                <w:color w:val="005982" w:themeColor="accent1"/>
                <w:sz w:val="20"/>
                <w:szCs w:val="20"/>
              </w:rPr>
              <w:t xml:space="preserve">Team focused with the ability to work collaboratively with colleagues and managers to deliver team objectives </w:t>
            </w:r>
          </w:p>
          <w:p w14:paraId="1DDCB157" w14:textId="77777777" w:rsidR="00AB49C5" w:rsidRPr="0033462D" w:rsidRDefault="00AB49C5" w:rsidP="00AB49C5">
            <w:pPr>
              <w:pStyle w:val="Default"/>
              <w:rPr>
                <w:rFonts w:asciiTheme="minorHAnsi" w:hAnsiTheme="minorHAnsi"/>
                <w:color w:val="005982" w:themeColor="accent1"/>
                <w:sz w:val="20"/>
                <w:szCs w:val="20"/>
              </w:rPr>
            </w:pPr>
            <w:r w:rsidRPr="0033462D">
              <w:rPr>
                <w:rFonts w:asciiTheme="minorHAnsi" w:hAnsiTheme="minorHAnsi"/>
                <w:color w:val="005982" w:themeColor="accent1"/>
                <w:sz w:val="20"/>
                <w:szCs w:val="20"/>
              </w:rPr>
              <w:t xml:space="preserve">Ability to carry out work in a logical sequence and operate a variety of administrative systems and processes </w:t>
            </w:r>
          </w:p>
          <w:p w14:paraId="368C28F4" w14:textId="66268074" w:rsidR="00AB49C5" w:rsidRPr="0033462D" w:rsidRDefault="00A146D7" w:rsidP="00AB49C5">
            <w:pPr>
              <w:pStyle w:val="Default"/>
              <w:rPr>
                <w:rFonts w:asciiTheme="minorHAnsi" w:hAnsiTheme="minorHAnsi"/>
                <w:color w:val="005982" w:themeColor="accent1"/>
                <w:sz w:val="20"/>
                <w:szCs w:val="20"/>
              </w:rPr>
            </w:pPr>
            <w:r w:rsidRPr="0033462D">
              <w:rPr>
                <w:rFonts w:asciiTheme="minorHAnsi" w:hAnsiTheme="minorHAnsi"/>
                <w:color w:val="005982" w:themeColor="accent1"/>
                <w:sz w:val="20"/>
                <w:szCs w:val="20"/>
              </w:rPr>
              <w:t>Abi</w:t>
            </w:r>
            <w:r>
              <w:rPr>
                <w:rFonts w:asciiTheme="minorHAnsi" w:hAnsiTheme="minorHAnsi"/>
                <w:color w:val="005982" w:themeColor="accent1"/>
                <w:sz w:val="20"/>
                <w:szCs w:val="20"/>
              </w:rPr>
              <w:t>lity</w:t>
            </w:r>
            <w:r w:rsidR="00AB49C5" w:rsidRPr="0033462D">
              <w:rPr>
                <w:rFonts w:asciiTheme="minorHAnsi" w:hAnsiTheme="minorHAnsi"/>
                <w:color w:val="005982" w:themeColor="accent1"/>
                <w:sz w:val="20"/>
                <w:szCs w:val="20"/>
              </w:rPr>
              <w:t xml:space="preserve"> to demonstrate initiative and to work independently </w:t>
            </w:r>
          </w:p>
          <w:p w14:paraId="3A0BE405" w14:textId="6321C9C8" w:rsidR="00AB49C5" w:rsidRPr="0033462D" w:rsidRDefault="00A146D7" w:rsidP="00AB49C5">
            <w:pPr>
              <w:pStyle w:val="Default"/>
              <w:rPr>
                <w:rFonts w:asciiTheme="minorHAnsi" w:hAnsiTheme="minorHAnsi"/>
                <w:color w:val="005982" w:themeColor="accent1"/>
                <w:sz w:val="20"/>
                <w:szCs w:val="20"/>
              </w:rPr>
            </w:pPr>
            <w:r>
              <w:rPr>
                <w:rFonts w:asciiTheme="minorHAnsi" w:hAnsiTheme="minorHAnsi"/>
                <w:color w:val="005982" w:themeColor="accent1"/>
                <w:sz w:val="20"/>
                <w:szCs w:val="20"/>
              </w:rPr>
              <w:t xml:space="preserve">Ability to </w:t>
            </w:r>
            <w:r w:rsidR="004B410A">
              <w:rPr>
                <w:rFonts w:asciiTheme="minorHAnsi" w:hAnsiTheme="minorHAnsi"/>
                <w:color w:val="005982" w:themeColor="accent1"/>
                <w:sz w:val="20"/>
                <w:szCs w:val="20"/>
              </w:rPr>
              <w:t>o</w:t>
            </w:r>
            <w:r w:rsidRPr="0033462D">
              <w:rPr>
                <w:rFonts w:asciiTheme="minorHAnsi" w:hAnsiTheme="minorHAnsi"/>
                <w:color w:val="005982" w:themeColor="accent1"/>
                <w:sz w:val="20"/>
                <w:szCs w:val="20"/>
              </w:rPr>
              <w:t>rgani</w:t>
            </w:r>
            <w:r>
              <w:rPr>
                <w:rFonts w:asciiTheme="minorHAnsi" w:hAnsiTheme="minorHAnsi"/>
                <w:color w:val="005982" w:themeColor="accent1"/>
                <w:sz w:val="20"/>
                <w:szCs w:val="20"/>
              </w:rPr>
              <w:t>s</w:t>
            </w:r>
            <w:r w:rsidRPr="0033462D">
              <w:rPr>
                <w:rFonts w:asciiTheme="minorHAnsi" w:hAnsiTheme="minorHAnsi"/>
                <w:color w:val="005982" w:themeColor="accent1"/>
                <w:sz w:val="20"/>
                <w:szCs w:val="20"/>
              </w:rPr>
              <w:t>e</w:t>
            </w:r>
            <w:r>
              <w:rPr>
                <w:rFonts w:asciiTheme="minorHAnsi" w:hAnsiTheme="minorHAnsi"/>
                <w:color w:val="005982" w:themeColor="accent1"/>
                <w:sz w:val="20"/>
                <w:szCs w:val="20"/>
              </w:rPr>
              <w:t xml:space="preserve"> </w:t>
            </w:r>
            <w:r w:rsidR="00AB49C5" w:rsidRPr="0033462D">
              <w:rPr>
                <w:rFonts w:asciiTheme="minorHAnsi" w:hAnsiTheme="minorHAnsi"/>
                <w:color w:val="005982" w:themeColor="accent1"/>
                <w:sz w:val="20"/>
                <w:szCs w:val="20"/>
              </w:rPr>
              <w:t xml:space="preserve">workload, managing own time, prioritising conflicting tasks and working to tight deadlines. </w:t>
            </w:r>
          </w:p>
          <w:p w14:paraId="75376350" w14:textId="77777777" w:rsidR="00AB49C5" w:rsidRPr="0033462D" w:rsidRDefault="00AB49C5" w:rsidP="00AB49C5">
            <w:pPr>
              <w:pStyle w:val="Default"/>
              <w:rPr>
                <w:rFonts w:asciiTheme="minorHAnsi" w:hAnsiTheme="minorHAnsi"/>
                <w:color w:val="005982" w:themeColor="accent1"/>
                <w:sz w:val="20"/>
                <w:szCs w:val="20"/>
              </w:rPr>
            </w:pPr>
            <w:r w:rsidRPr="0033462D">
              <w:rPr>
                <w:rFonts w:asciiTheme="minorHAnsi" w:hAnsiTheme="minorHAnsi"/>
                <w:color w:val="005982" w:themeColor="accent1"/>
                <w:sz w:val="20"/>
                <w:szCs w:val="20"/>
              </w:rPr>
              <w:t xml:space="preserve">Established interpersonal and communication skills (both verbal and written). </w:t>
            </w:r>
          </w:p>
          <w:p w14:paraId="68E9E98C" w14:textId="77777777" w:rsidR="00AB49C5" w:rsidRPr="0033462D" w:rsidRDefault="00AB49C5" w:rsidP="00AB49C5">
            <w:pPr>
              <w:pStyle w:val="Default"/>
              <w:rPr>
                <w:rFonts w:asciiTheme="minorHAnsi" w:hAnsiTheme="minorHAnsi"/>
                <w:color w:val="005982" w:themeColor="accent1"/>
                <w:sz w:val="20"/>
                <w:szCs w:val="20"/>
              </w:rPr>
            </w:pPr>
            <w:r w:rsidRPr="0033462D">
              <w:rPr>
                <w:rFonts w:asciiTheme="minorHAnsi" w:hAnsiTheme="minorHAnsi"/>
                <w:color w:val="005982" w:themeColor="accent1"/>
                <w:sz w:val="20"/>
                <w:szCs w:val="20"/>
              </w:rPr>
              <w:t xml:space="preserve">Numerate and literate with ability to draft effective letters and reports </w:t>
            </w:r>
          </w:p>
          <w:p w14:paraId="70B198DE" w14:textId="77777777" w:rsidR="00AB49C5" w:rsidRPr="0033462D" w:rsidRDefault="00AB49C5" w:rsidP="00AB49C5">
            <w:pPr>
              <w:pStyle w:val="Default"/>
              <w:rPr>
                <w:rFonts w:asciiTheme="minorHAnsi" w:hAnsiTheme="minorHAnsi"/>
                <w:color w:val="005982" w:themeColor="accent1"/>
                <w:sz w:val="20"/>
                <w:szCs w:val="20"/>
              </w:rPr>
            </w:pPr>
            <w:r w:rsidRPr="0033462D">
              <w:rPr>
                <w:rFonts w:asciiTheme="minorHAnsi" w:hAnsiTheme="minorHAnsi"/>
                <w:color w:val="005982" w:themeColor="accent1"/>
                <w:sz w:val="20"/>
                <w:szCs w:val="20"/>
              </w:rPr>
              <w:t xml:space="preserve">ICT skills, particularly accurate data input, investigation, manipulation and retrieval of data </w:t>
            </w:r>
          </w:p>
          <w:p w14:paraId="684263E6" w14:textId="2120BEFC" w:rsidR="00AB49C5" w:rsidRPr="0033462D" w:rsidRDefault="004B410A" w:rsidP="00AB49C5">
            <w:pPr>
              <w:pStyle w:val="Default"/>
              <w:rPr>
                <w:rFonts w:asciiTheme="minorHAnsi" w:hAnsiTheme="minorHAnsi"/>
                <w:color w:val="005982" w:themeColor="accent1"/>
                <w:sz w:val="20"/>
                <w:szCs w:val="20"/>
              </w:rPr>
            </w:pPr>
            <w:r w:rsidRPr="0033462D">
              <w:rPr>
                <w:rFonts w:asciiTheme="minorHAnsi" w:hAnsiTheme="minorHAnsi"/>
                <w:color w:val="005982" w:themeColor="accent1"/>
                <w:sz w:val="20"/>
                <w:szCs w:val="20"/>
              </w:rPr>
              <w:t>Abi</w:t>
            </w:r>
            <w:r>
              <w:rPr>
                <w:rFonts w:asciiTheme="minorHAnsi" w:hAnsiTheme="minorHAnsi"/>
                <w:color w:val="005982" w:themeColor="accent1"/>
                <w:sz w:val="20"/>
                <w:szCs w:val="20"/>
              </w:rPr>
              <w:t>lity</w:t>
            </w:r>
            <w:r w:rsidR="00AB49C5" w:rsidRPr="0033462D">
              <w:rPr>
                <w:rFonts w:asciiTheme="minorHAnsi" w:hAnsiTheme="minorHAnsi"/>
                <w:color w:val="005982" w:themeColor="accent1"/>
                <w:sz w:val="20"/>
                <w:szCs w:val="20"/>
              </w:rPr>
              <w:t xml:space="preserve"> to use Microsoft Office, web-based systems, and reporting software</w:t>
            </w:r>
          </w:p>
          <w:p w14:paraId="7C1776C7" w14:textId="77777777" w:rsidR="00075509" w:rsidRPr="0033462D" w:rsidRDefault="00075509" w:rsidP="00AB49C5">
            <w:pPr>
              <w:pStyle w:val="Default"/>
              <w:rPr>
                <w:rFonts w:asciiTheme="minorHAnsi" w:hAnsiTheme="minorHAnsi"/>
                <w:color w:val="005982" w:themeColor="accent1"/>
                <w:sz w:val="20"/>
                <w:szCs w:val="20"/>
              </w:rPr>
            </w:pPr>
          </w:p>
          <w:p w14:paraId="55FF5415" w14:textId="77777777" w:rsidR="00AB49C5" w:rsidRPr="0033462D" w:rsidRDefault="00AB49C5" w:rsidP="00AB49C5">
            <w:pPr>
              <w:pStyle w:val="Default"/>
              <w:rPr>
                <w:rFonts w:asciiTheme="minorHAnsi" w:hAnsiTheme="minorHAnsi"/>
                <w:color w:val="005982" w:themeColor="accent1"/>
                <w:sz w:val="20"/>
                <w:szCs w:val="20"/>
              </w:rPr>
            </w:pPr>
            <w:r w:rsidRPr="0033462D">
              <w:rPr>
                <w:rFonts w:asciiTheme="minorHAnsi" w:hAnsiTheme="minorHAnsi"/>
                <w:color w:val="005982" w:themeColor="accent1"/>
                <w:sz w:val="20"/>
                <w:szCs w:val="20"/>
              </w:rPr>
              <w:t xml:space="preserve">Capable of travelling to other locations as required by the job role (service departments / schools) </w:t>
            </w:r>
          </w:p>
          <w:p w14:paraId="3F498830" w14:textId="77777777" w:rsidR="00AB49C5" w:rsidRPr="0033462D" w:rsidRDefault="00AB49C5" w:rsidP="00AB49C5">
            <w:pPr>
              <w:pStyle w:val="Default"/>
              <w:rPr>
                <w:rFonts w:asciiTheme="minorHAnsi" w:hAnsiTheme="minorHAnsi"/>
                <w:color w:val="005982" w:themeColor="accent1"/>
                <w:sz w:val="20"/>
                <w:szCs w:val="20"/>
              </w:rPr>
            </w:pPr>
          </w:p>
          <w:p w14:paraId="33DBF184" w14:textId="20ED975B" w:rsidR="00814BD7" w:rsidRPr="0033462D" w:rsidRDefault="008122A4" w:rsidP="00FE52AB">
            <w:pPr>
              <w:spacing w:line="276" w:lineRule="auto"/>
              <w:rPr>
                <w:color w:val="005982" w:themeColor="accent1"/>
                <w:szCs w:val="20"/>
              </w:rPr>
            </w:pPr>
            <w:r w:rsidRPr="0033462D">
              <w:rPr>
                <w:color w:val="005982" w:themeColor="accent1"/>
                <w:szCs w:val="20"/>
              </w:rP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9205" w14:textId="77777777" w:rsidR="00AE7ADE" w:rsidRDefault="00AE7ADE" w:rsidP="00BC73FC">
      <w:r>
        <w:separator/>
      </w:r>
    </w:p>
  </w:endnote>
  <w:endnote w:type="continuationSeparator" w:id="0">
    <w:p w14:paraId="06C48253" w14:textId="77777777" w:rsidR="00AE7ADE" w:rsidRDefault="00AE7ADE" w:rsidP="00BC73FC">
      <w:r>
        <w:continuationSeparator/>
      </w:r>
    </w:p>
  </w:endnote>
  <w:endnote w:type="continuationNotice" w:id="1">
    <w:p w14:paraId="1104A64F" w14:textId="77777777" w:rsidR="00AE7ADE" w:rsidRDefault="00AE7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98C4" w14:textId="77777777" w:rsidR="00AE7ADE" w:rsidRDefault="00AE7ADE" w:rsidP="00BC73FC">
      <w:r>
        <w:separator/>
      </w:r>
    </w:p>
  </w:footnote>
  <w:footnote w:type="continuationSeparator" w:id="0">
    <w:p w14:paraId="15BDCB53" w14:textId="77777777" w:rsidR="00AE7ADE" w:rsidRDefault="00AE7ADE" w:rsidP="00BC73FC">
      <w:r>
        <w:continuationSeparator/>
      </w:r>
    </w:p>
  </w:footnote>
  <w:footnote w:type="continuationNotice" w:id="1">
    <w:p w14:paraId="57168CBC" w14:textId="77777777" w:rsidR="00AE7ADE" w:rsidRDefault="00AE7A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61446"/>
    <w:multiLevelType w:val="hybridMultilevel"/>
    <w:tmpl w:val="D132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EE4FF0"/>
    <w:multiLevelType w:val="hybridMultilevel"/>
    <w:tmpl w:val="F902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32E89"/>
    <w:multiLevelType w:val="hybridMultilevel"/>
    <w:tmpl w:val="D316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6"/>
  </w:num>
  <w:num w:numId="6" w16cid:durableId="854002118">
    <w:abstractNumId w:val="15"/>
  </w:num>
  <w:num w:numId="7" w16cid:durableId="9643203">
    <w:abstractNumId w:val="24"/>
  </w:num>
  <w:num w:numId="8" w16cid:durableId="2094618771">
    <w:abstractNumId w:val="19"/>
  </w:num>
  <w:num w:numId="9" w16cid:durableId="1866013986">
    <w:abstractNumId w:val="20"/>
  </w:num>
  <w:num w:numId="10" w16cid:durableId="948005912">
    <w:abstractNumId w:val="5"/>
  </w:num>
  <w:num w:numId="11" w16cid:durableId="1186291718">
    <w:abstractNumId w:val="1"/>
  </w:num>
  <w:num w:numId="12" w16cid:durableId="2114011035">
    <w:abstractNumId w:val="3"/>
  </w:num>
  <w:num w:numId="13" w16cid:durableId="889268224">
    <w:abstractNumId w:val="21"/>
  </w:num>
  <w:num w:numId="14" w16cid:durableId="1943221786">
    <w:abstractNumId w:val="17"/>
  </w:num>
  <w:num w:numId="15" w16cid:durableId="17393087">
    <w:abstractNumId w:val="11"/>
  </w:num>
  <w:num w:numId="16" w16cid:durableId="79496472">
    <w:abstractNumId w:val="4"/>
  </w:num>
  <w:num w:numId="17" w16cid:durableId="1190876401">
    <w:abstractNumId w:val="9"/>
  </w:num>
  <w:num w:numId="18" w16cid:durableId="1516726489">
    <w:abstractNumId w:val="23"/>
  </w:num>
  <w:num w:numId="19" w16cid:durableId="1519809597">
    <w:abstractNumId w:val="6"/>
  </w:num>
  <w:num w:numId="20" w16cid:durableId="1106654369">
    <w:abstractNumId w:val="7"/>
  </w:num>
  <w:num w:numId="21" w16cid:durableId="855311505">
    <w:abstractNumId w:val="18"/>
  </w:num>
  <w:num w:numId="22" w16cid:durableId="1128014861">
    <w:abstractNumId w:val="22"/>
  </w:num>
  <w:num w:numId="23" w16cid:durableId="444471535">
    <w:abstractNumId w:val="14"/>
  </w:num>
  <w:num w:numId="24" w16cid:durableId="551040391">
    <w:abstractNumId w:val="12"/>
  </w:num>
  <w:num w:numId="25" w16cid:durableId="754281323">
    <w:abstractNumId w:val="13"/>
  </w:num>
  <w:num w:numId="26" w16cid:durableId="1742484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420E8"/>
    <w:rsid w:val="00060551"/>
    <w:rsid w:val="00075509"/>
    <w:rsid w:val="000761F2"/>
    <w:rsid w:val="0008346E"/>
    <w:rsid w:val="0009529B"/>
    <w:rsid w:val="000C196A"/>
    <w:rsid w:val="000C3D71"/>
    <w:rsid w:val="000E1C8B"/>
    <w:rsid w:val="000F5A32"/>
    <w:rsid w:val="0010498C"/>
    <w:rsid w:val="00117D1E"/>
    <w:rsid w:val="001360EF"/>
    <w:rsid w:val="00141C6D"/>
    <w:rsid w:val="00157644"/>
    <w:rsid w:val="0016524D"/>
    <w:rsid w:val="001806C6"/>
    <w:rsid w:val="00180710"/>
    <w:rsid w:val="00181676"/>
    <w:rsid w:val="00195D43"/>
    <w:rsid w:val="001962F7"/>
    <w:rsid w:val="001A1FD6"/>
    <w:rsid w:val="001C6CDA"/>
    <w:rsid w:val="001D7755"/>
    <w:rsid w:val="001F46F6"/>
    <w:rsid w:val="001F74F2"/>
    <w:rsid w:val="00213E7B"/>
    <w:rsid w:val="002141F8"/>
    <w:rsid w:val="00226843"/>
    <w:rsid w:val="0024328B"/>
    <w:rsid w:val="002466AB"/>
    <w:rsid w:val="00246D98"/>
    <w:rsid w:val="002511DA"/>
    <w:rsid w:val="002635AA"/>
    <w:rsid w:val="00273F5B"/>
    <w:rsid w:val="00281B02"/>
    <w:rsid w:val="00281E93"/>
    <w:rsid w:val="002A0AC2"/>
    <w:rsid w:val="002B45D3"/>
    <w:rsid w:val="002C518F"/>
    <w:rsid w:val="002D755E"/>
    <w:rsid w:val="002F1798"/>
    <w:rsid w:val="002F6FC8"/>
    <w:rsid w:val="0030456C"/>
    <w:rsid w:val="003329C7"/>
    <w:rsid w:val="0033462D"/>
    <w:rsid w:val="003551E1"/>
    <w:rsid w:val="00365C93"/>
    <w:rsid w:val="00365F68"/>
    <w:rsid w:val="00372BB5"/>
    <w:rsid w:val="00375DD6"/>
    <w:rsid w:val="003867C7"/>
    <w:rsid w:val="003955FE"/>
    <w:rsid w:val="00395C1F"/>
    <w:rsid w:val="003A0A86"/>
    <w:rsid w:val="003C60F7"/>
    <w:rsid w:val="003D4D87"/>
    <w:rsid w:val="003E29DF"/>
    <w:rsid w:val="003E5CE9"/>
    <w:rsid w:val="00415272"/>
    <w:rsid w:val="004600FA"/>
    <w:rsid w:val="00464888"/>
    <w:rsid w:val="0046731B"/>
    <w:rsid w:val="00480E8A"/>
    <w:rsid w:val="00480FAD"/>
    <w:rsid w:val="004A6BB1"/>
    <w:rsid w:val="004A796F"/>
    <w:rsid w:val="004B3CB2"/>
    <w:rsid w:val="004B410A"/>
    <w:rsid w:val="004C6BAA"/>
    <w:rsid w:val="004E1F7B"/>
    <w:rsid w:val="00506E16"/>
    <w:rsid w:val="00515D95"/>
    <w:rsid w:val="00516600"/>
    <w:rsid w:val="00561A2C"/>
    <w:rsid w:val="00577543"/>
    <w:rsid w:val="00593983"/>
    <w:rsid w:val="005A0882"/>
    <w:rsid w:val="005A4D05"/>
    <w:rsid w:val="005B54B1"/>
    <w:rsid w:val="005C2714"/>
    <w:rsid w:val="005E0795"/>
    <w:rsid w:val="005E6612"/>
    <w:rsid w:val="005E760C"/>
    <w:rsid w:val="005E78CB"/>
    <w:rsid w:val="005F2592"/>
    <w:rsid w:val="006126B9"/>
    <w:rsid w:val="00615C12"/>
    <w:rsid w:val="00617D5E"/>
    <w:rsid w:val="00624660"/>
    <w:rsid w:val="0063606F"/>
    <w:rsid w:val="00647C3A"/>
    <w:rsid w:val="00655F49"/>
    <w:rsid w:val="00671F84"/>
    <w:rsid w:val="00677A30"/>
    <w:rsid w:val="0068134D"/>
    <w:rsid w:val="00695CD1"/>
    <w:rsid w:val="006C0E64"/>
    <w:rsid w:val="006C4D8D"/>
    <w:rsid w:val="006C78E7"/>
    <w:rsid w:val="006D4B28"/>
    <w:rsid w:val="006D50C6"/>
    <w:rsid w:val="006E0691"/>
    <w:rsid w:val="006F0B4F"/>
    <w:rsid w:val="006F64DF"/>
    <w:rsid w:val="00700D4D"/>
    <w:rsid w:val="007079B0"/>
    <w:rsid w:val="00710C22"/>
    <w:rsid w:val="00713365"/>
    <w:rsid w:val="00724932"/>
    <w:rsid w:val="00763784"/>
    <w:rsid w:val="007807FB"/>
    <w:rsid w:val="007840DF"/>
    <w:rsid w:val="00793AC9"/>
    <w:rsid w:val="00793DB6"/>
    <w:rsid w:val="007B29E5"/>
    <w:rsid w:val="007C27DD"/>
    <w:rsid w:val="007C3222"/>
    <w:rsid w:val="007F6D8B"/>
    <w:rsid w:val="007F737F"/>
    <w:rsid w:val="008122A4"/>
    <w:rsid w:val="00814BD7"/>
    <w:rsid w:val="008274BC"/>
    <w:rsid w:val="00830561"/>
    <w:rsid w:val="00882CF4"/>
    <w:rsid w:val="00887821"/>
    <w:rsid w:val="0089153F"/>
    <w:rsid w:val="008A28B5"/>
    <w:rsid w:val="008A2E5F"/>
    <w:rsid w:val="008A54C6"/>
    <w:rsid w:val="008B2A1A"/>
    <w:rsid w:val="008C5BB7"/>
    <w:rsid w:val="008D29E5"/>
    <w:rsid w:val="008D57B9"/>
    <w:rsid w:val="008D6A81"/>
    <w:rsid w:val="008E169C"/>
    <w:rsid w:val="00900A51"/>
    <w:rsid w:val="00902AB1"/>
    <w:rsid w:val="00917803"/>
    <w:rsid w:val="0092009C"/>
    <w:rsid w:val="00924729"/>
    <w:rsid w:val="00934F88"/>
    <w:rsid w:val="00951B31"/>
    <w:rsid w:val="0095770D"/>
    <w:rsid w:val="00966E71"/>
    <w:rsid w:val="00971691"/>
    <w:rsid w:val="00974E97"/>
    <w:rsid w:val="00982CF7"/>
    <w:rsid w:val="0098361A"/>
    <w:rsid w:val="00991B0B"/>
    <w:rsid w:val="009A2C89"/>
    <w:rsid w:val="009B45BF"/>
    <w:rsid w:val="009C124D"/>
    <w:rsid w:val="009D1074"/>
    <w:rsid w:val="009D4A90"/>
    <w:rsid w:val="009E3D16"/>
    <w:rsid w:val="00A146D7"/>
    <w:rsid w:val="00A2350D"/>
    <w:rsid w:val="00A27909"/>
    <w:rsid w:val="00A3304B"/>
    <w:rsid w:val="00A405BB"/>
    <w:rsid w:val="00A447D8"/>
    <w:rsid w:val="00A50F8D"/>
    <w:rsid w:val="00A57756"/>
    <w:rsid w:val="00AB49C5"/>
    <w:rsid w:val="00AC7DE3"/>
    <w:rsid w:val="00AE230E"/>
    <w:rsid w:val="00AE7ADE"/>
    <w:rsid w:val="00AF536B"/>
    <w:rsid w:val="00B03030"/>
    <w:rsid w:val="00B14D8F"/>
    <w:rsid w:val="00B41E44"/>
    <w:rsid w:val="00B555EE"/>
    <w:rsid w:val="00B6029A"/>
    <w:rsid w:val="00B6431B"/>
    <w:rsid w:val="00B64385"/>
    <w:rsid w:val="00B824D6"/>
    <w:rsid w:val="00B905A5"/>
    <w:rsid w:val="00B91C7E"/>
    <w:rsid w:val="00B94DB1"/>
    <w:rsid w:val="00B97621"/>
    <w:rsid w:val="00BA7BC6"/>
    <w:rsid w:val="00BC73FC"/>
    <w:rsid w:val="00BD151D"/>
    <w:rsid w:val="00BD6187"/>
    <w:rsid w:val="00C00840"/>
    <w:rsid w:val="00C107EE"/>
    <w:rsid w:val="00C24C53"/>
    <w:rsid w:val="00C3543B"/>
    <w:rsid w:val="00C42AB0"/>
    <w:rsid w:val="00C43902"/>
    <w:rsid w:val="00C43CC7"/>
    <w:rsid w:val="00C4790C"/>
    <w:rsid w:val="00C57607"/>
    <w:rsid w:val="00C6004A"/>
    <w:rsid w:val="00C63F91"/>
    <w:rsid w:val="00C6483A"/>
    <w:rsid w:val="00C70B60"/>
    <w:rsid w:val="00C916FE"/>
    <w:rsid w:val="00CC3477"/>
    <w:rsid w:val="00CC7608"/>
    <w:rsid w:val="00CD2F7A"/>
    <w:rsid w:val="00CD3C4E"/>
    <w:rsid w:val="00CE4487"/>
    <w:rsid w:val="00D12306"/>
    <w:rsid w:val="00D15C08"/>
    <w:rsid w:val="00D15E96"/>
    <w:rsid w:val="00D27B4A"/>
    <w:rsid w:val="00D33ACE"/>
    <w:rsid w:val="00D3444F"/>
    <w:rsid w:val="00D63C04"/>
    <w:rsid w:val="00D655D1"/>
    <w:rsid w:val="00D86954"/>
    <w:rsid w:val="00D96082"/>
    <w:rsid w:val="00DA0287"/>
    <w:rsid w:val="00DB629F"/>
    <w:rsid w:val="00DB6406"/>
    <w:rsid w:val="00DC12AF"/>
    <w:rsid w:val="00DC65EE"/>
    <w:rsid w:val="00DC6AB5"/>
    <w:rsid w:val="00DD04E0"/>
    <w:rsid w:val="00DD46D1"/>
    <w:rsid w:val="00E14925"/>
    <w:rsid w:val="00E26A54"/>
    <w:rsid w:val="00E301C7"/>
    <w:rsid w:val="00E33BB5"/>
    <w:rsid w:val="00E4076D"/>
    <w:rsid w:val="00E465B7"/>
    <w:rsid w:val="00E7121F"/>
    <w:rsid w:val="00E810A5"/>
    <w:rsid w:val="00E870E9"/>
    <w:rsid w:val="00E87EA7"/>
    <w:rsid w:val="00E90D4D"/>
    <w:rsid w:val="00E95D2E"/>
    <w:rsid w:val="00E97637"/>
    <w:rsid w:val="00EC745A"/>
    <w:rsid w:val="00ED4EB2"/>
    <w:rsid w:val="00EF1947"/>
    <w:rsid w:val="00EF3E9E"/>
    <w:rsid w:val="00EF477D"/>
    <w:rsid w:val="00F000FC"/>
    <w:rsid w:val="00F10327"/>
    <w:rsid w:val="00F20667"/>
    <w:rsid w:val="00F249FA"/>
    <w:rsid w:val="00F51960"/>
    <w:rsid w:val="00F57C7D"/>
    <w:rsid w:val="00F62465"/>
    <w:rsid w:val="00F73F2F"/>
    <w:rsid w:val="00F81F69"/>
    <w:rsid w:val="00F84CC7"/>
    <w:rsid w:val="00F96FF6"/>
    <w:rsid w:val="00FA1A76"/>
    <w:rsid w:val="00FC1B7C"/>
    <w:rsid w:val="00FC7C8D"/>
    <w:rsid w:val="00FD3DF3"/>
    <w:rsid w:val="00FE239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customStyle="1" w:styleId="Default">
    <w:name w:val="Default"/>
    <w:rsid w:val="00615C12"/>
    <w:pPr>
      <w:autoSpaceDE w:val="0"/>
      <w:autoSpaceDN w:val="0"/>
      <w:adjustRightInd w:val="0"/>
    </w:pPr>
    <w:rPr>
      <w:rFonts w:ascii="Arial" w:hAnsi="Arial" w:cs="Arial"/>
      <w:color w:val="000000"/>
      <w:lang w:val="en-GB"/>
      <w14:ligatures w14:val="standardContextual"/>
    </w:rPr>
  </w:style>
  <w:style w:type="paragraph" w:styleId="NormalWeb">
    <w:name w:val="Normal (Web)"/>
    <w:basedOn w:val="Normal"/>
    <w:uiPriority w:val="99"/>
    <w:semiHidden/>
    <w:unhideWhenUsed/>
    <w:rsid w:val="00D15C08"/>
    <w:pPr>
      <w:spacing w:before="100" w:beforeAutospacing="1" w:after="100" w:afterAutospacing="1"/>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7924CD30-951A-4330-9C85-F5E946822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4</Pages>
  <Words>1094</Words>
  <Characters>6814</Characters>
  <Application>Microsoft Office Word</Application>
  <DocSecurity>0</DocSecurity>
  <Lines>123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Deborah Bailey</cp:lastModifiedBy>
  <cp:revision>23</cp:revision>
  <dcterms:created xsi:type="dcterms:W3CDTF">2026-01-26T11:13:00Z</dcterms:created>
  <dcterms:modified xsi:type="dcterms:W3CDTF">2026-03-04T16:42:00Z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